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90" w:rsidRDefault="00DE6A90"/>
    <w:p w:rsidR="00DE6A90" w:rsidRDefault="0096759B">
      <w:pPr>
        <w:jc w:val="right"/>
        <w:rPr>
          <w:rFonts w:ascii="Arial" w:eastAsia="Arial" w:hAnsi="Arial" w:cs="Arial"/>
          <w:sz w:val="22"/>
          <w:szCs w:val="22"/>
          <w:lang w:val="it-IT"/>
        </w:rPr>
      </w:pPr>
      <w:r>
        <w:rPr>
          <w:rFonts w:ascii="Arial" w:hAnsi="Arial"/>
          <w:sz w:val="22"/>
          <w:szCs w:val="22"/>
          <w:lang w:val="it-IT"/>
        </w:rPr>
        <w:t xml:space="preserve">Al Sig. Presidente del </w:t>
      </w:r>
    </w:p>
    <w:p w:rsidR="00DE6A90" w:rsidRDefault="0096759B">
      <w:pPr>
        <w:jc w:val="right"/>
        <w:rPr>
          <w:rFonts w:ascii="Arial" w:eastAsia="Arial" w:hAnsi="Arial" w:cs="Arial"/>
          <w:sz w:val="22"/>
          <w:szCs w:val="22"/>
          <w:lang w:val="it-IT"/>
        </w:rPr>
      </w:pPr>
      <w:r>
        <w:rPr>
          <w:rFonts w:ascii="Arial" w:hAnsi="Arial"/>
          <w:sz w:val="22"/>
          <w:szCs w:val="22"/>
          <w:lang w:val="it-IT"/>
        </w:rPr>
        <w:t>Consiglio Comunale</w:t>
      </w:r>
    </w:p>
    <w:p w:rsidR="00DE6A90" w:rsidRDefault="00DE6A90">
      <w:pPr>
        <w:jc w:val="center"/>
        <w:rPr>
          <w:rFonts w:ascii="Arial" w:eastAsia="Arial" w:hAnsi="Arial" w:cs="Arial"/>
          <w:sz w:val="22"/>
          <w:szCs w:val="22"/>
        </w:rPr>
      </w:pPr>
    </w:p>
    <w:p w:rsidR="00DE6A90" w:rsidRDefault="00DE6A90">
      <w:pPr>
        <w:jc w:val="center"/>
        <w:rPr>
          <w:rFonts w:ascii="Arial" w:eastAsia="Arial" w:hAnsi="Arial" w:cs="Arial"/>
          <w:sz w:val="22"/>
          <w:szCs w:val="22"/>
        </w:rPr>
      </w:pPr>
    </w:p>
    <w:p w:rsidR="00DE6A90" w:rsidRDefault="0096759B">
      <w:pPr>
        <w:jc w:val="both"/>
        <w:rPr>
          <w:rFonts w:ascii="Arial" w:eastAsia="Arial" w:hAnsi="Arial" w:cs="Arial"/>
          <w:b/>
          <w:bCs/>
          <w:sz w:val="22"/>
          <w:szCs w:val="22"/>
          <w:lang w:val="it-IT"/>
        </w:rPr>
      </w:pPr>
      <w:r>
        <w:rPr>
          <w:rFonts w:ascii="Arial" w:hAnsi="Arial"/>
          <w:b/>
          <w:bCs/>
          <w:sz w:val="22"/>
          <w:szCs w:val="22"/>
          <w:lang w:val="it-IT"/>
        </w:rPr>
        <w:t>Oggetto: Mozione per la dotazione e la formazione degli Agenti di Polizia Locale all’utilizzo di armi comuni ad impulsi elettrici</w:t>
      </w:r>
    </w:p>
    <w:p w:rsidR="00DE6A90" w:rsidRDefault="00DE6A90">
      <w:pPr>
        <w:jc w:val="both"/>
        <w:rPr>
          <w:rFonts w:ascii="Arial" w:eastAsia="Arial" w:hAnsi="Arial" w:cs="Arial"/>
          <w:b/>
          <w:bCs/>
          <w:sz w:val="22"/>
          <w:szCs w:val="22"/>
          <w:lang w:val="it-IT"/>
        </w:rPr>
      </w:pPr>
    </w:p>
    <w:p w:rsidR="00DE6A90" w:rsidRDefault="00DE6A90">
      <w:pPr>
        <w:jc w:val="center"/>
        <w:rPr>
          <w:rFonts w:ascii="Arial" w:eastAsia="Arial" w:hAnsi="Arial" w:cs="Arial"/>
          <w:b/>
          <w:bCs/>
          <w:lang w:val="it-IT"/>
        </w:rPr>
      </w:pPr>
    </w:p>
    <w:p w:rsidR="00DE6A90" w:rsidRDefault="0096759B">
      <w:pPr>
        <w:jc w:val="center"/>
        <w:rPr>
          <w:rFonts w:ascii="Arial" w:eastAsia="Arial" w:hAnsi="Arial" w:cs="Arial"/>
          <w:b/>
          <w:bCs/>
          <w:sz w:val="22"/>
          <w:szCs w:val="22"/>
          <w:lang w:val="it-IT"/>
        </w:rPr>
      </w:pPr>
      <w:r>
        <w:rPr>
          <w:rFonts w:ascii="Arial" w:hAnsi="Arial"/>
          <w:b/>
          <w:bCs/>
          <w:sz w:val="22"/>
          <w:szCs w:val="22"/>
          <w:lang w:val="it-IT"/>
        </w:rPr>
        <w:t>Premesso che</w:t>
      </w:r>
    </w:p>
    <w:p w:rsidR="00DE6A90" w:rsidRDefault="00DE6A90">
      <w:pPr>
        <w:jc w:val="both"/>
        <w:rPr>
          <w:rFonts w:ascii="Arial" w:eastAsia="Arial" w:hAnsi="Arial" w:cs="Arial"/>
          <w:sz w:val="22"/>
          <w:szCs w:val="22"/>
          <w:lang w:val="it-IT"/>
        </w:rPr>
      </w:pPr>
    </w:p>
    <w:p w:rsidR="00DE6A90" w:rsidRDefault="0096759B">
      <w:pPr>
        <w:jc w:val="both"/>
        <w:rPr>
          <w:rFonts w:ascii="Arial" w:eastAsia="Arial" w:hAnsi="Arial" w:cs="Arial"/>
          <w:sz w:val="22"/>
          <w:szCs w:val="22"/>
          <w:lang w:val="it-IT"/>
        </w:rPr>
      </w:pPr>
      <w:r>
        <w:rPr>
          <w:rFonts w:ascii="Arial" w:hAnsi="Arial"/>
          <w:sz w:val="22"/>
          <w:szCs w:val="22"/>
          <w:lang w:val="it-IT"/>
        </w:rPr>
        <w:t>La sicurezza pubblica deve essere una priorità per ogni amministrazione e il benessere dei cittadini richiede misure efficaci per affrontare situazioni di pericolo e di emergenza.</w:t>
      </w:r>
    </w:p>
    <w:p w:rsidR="00DE6A90" w:rsidRDefault="00DE6A90">
      <w:pPr>
        <w:jc w:val="center"/>
        <w:rPr>
          <w:rFonts w:ascii="Arial" w:eastAsia="Arial" w:hAnsi="Arial" w:cs="Arial"/>
          <w:b/>
          <w:bCs/>
          <w:sz w:val="22"/>
          <w:szCs w:val="22"/>
          <w:lang w:val="it-IT"/>
        </w:rPr>
      </w:pPr>
    </w:p>
    <w:p w:rsidR="00DE6A90" w:rsidRDefault="0096759B">
      <w:pPr>
        <w:jc w:val="both"/>
        <w:rPr>
          <w:rFonts w:ascii="Arial" w:eastAsia="Arial" w:hAnsi="Arial" w:cs="Arial"/>
          <w:sz w:val="22"/>
          <w:szCs w:val="22"/>
          <w:lang w:val="it-IT"/>
        </w:rPr>
      </w:pPr>
      <w:r>
        <w:rPr>
          <w:rFonts w:ascii="Arial" w:hAnsi="Arial"/>
          <w:sz w:val="22"/>
          <w:szCs w:val="22"/>
          <w:lang w:val="it-IT"/>
        </w:rPr>
        <w:t>Gli Agenti della Polizia Locale sono spesso chiamati a intervenire in situazioni che possono mettere a rischio la loro incolumità e quella dei cittadini.</w:t>
      </w:r>
    </w:p>
    <w:p w:rsidR="00DE6A90" w:rsidRDefault="00DE6A90">
      <w:pPr>
        <w:jc w:val="both"/>
        <w:rPr>
          <w:rFonts w:ascii="Arial" w:eastAsia="Arial" w:hAnsi="Arial" w:cs="Arial"/>
          <w:sz w:val="22"/>
          <w:szCs w:val="22"/>
          <w:lang w:val="it-IT"/>
        </w:rPr>
      </w:pPr>
    </w:p>
    <w:p w:rsidR="00DE6A90" w:rsidRDefault="0096759B">
      <w:pPr>
        <w:jc w:val="both"/>
        <w:rPr>
          <w:rFonts w:ascii="Arial" w:eastAsia="Arial" w:hAnsi="Arial" w:cs="Arial"/>
          <w:sz w:val="22"/>
          <w:szCs w:val="22"/>
          <w:lang w:val="it-IT"/>
        </w:rPr>
      </w:pPr>
      <w:r>
        <w:rPr>
          <w:rFonts w:ascii="Arial" w:hAnsi="Arial"/>
          <w:sz w:val="22"/>
          <w:szCs w:val="22"/>
          <w:lang w:val="it-IT"/>
        </w:rPr>
        <w:t>È necessario fornire agli Agenti strumenti adeguati per gestire efficacemente tali situazioni, riducendo al minimo il ricorso a mezzi letali.</w:t>
      </w:r>
    </w:p>
    <w:p w:rsidR="00DE6A90" w:rsidRDefault="00DE6A90">
      <w:pPr>
        <w:jc w:val="both"/>
        <w:rPr>
          <w:rFonts w:ascii="Arial" w:eastAsia="Arial" w:hAnsi="Arial" w:cs="Arial"/>
          <w:sz w:val="22"/>
          <w:szCs w:val="22"/>
          <w:lang w:val="it-IT"/>
        </w:rPr>
      </w:pPr>
    </w:p>
    <w:p w:rsidR="00DE6A90" w:rsidRDefault="0096759B">
      <w:pPr>
        <w:jc w:val="both"/>
        <w:rPr>
          <w:rFonts w:ascii="Arial" w:eastAsia="Arial" w:hAnsi="Arial" w:cs="Arial"/>
          <w:b/>
          <w:bCs/>
          <w:sz w:val="22"/>
          <w:szCs w:val="22"/>
          <w:lang w:val="it-IT"/>
        </w:rPr>
      </w:pPr>
      <w:r>
        <w:rPr>
          <w:rFonts w:ascii="Arial" w:hAnsi="Arial"/>
          <w:sz w:val="22"/>
          <w:szCs w:val="22"/>
          <w:lang w:val="it-IT"/>
        </w:rPr>
        <w:t>L’introduzione del “</w:t>
      </w:r>
      <w:proofErr w:type="spellStart"/>
      <w:r>
        <w:rPr>
          <w:rFonts w:ascii="Arial" w:hAnsi="Arial"/>
          <w:sz w:val="22"/>
          <w:szCs w:val="22"/>
          <w:lang w:val="it-IT"/>
        </w:rPr>
        <w:t>taser</w:t>
      </w:r>
      <w:proofErr w:type="spellEnd"/>
      <w:r>
        <w:rPr>
          <w:rFonts w:ascii="Arial" w:hAnsi="Arial"/>
          <w:sz w:val="22"/>
          <w:szCs w:val="22"/>
          <w:lang w:val="it-IT"/>
        </w:rPr>
        <w:t>”, quale strumento di difesa non letale, può certamente contribuire a ridurre i rischi per l’incolumità fisica degli Agenti e dei cittadini, offrendo un’alternativa efficace all’uso delle armi da fuoco.</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center"/>
        <w:rPr>
          <w:rFonts w:ascii="Arial" w:eastAsia="Arial" w:hAnsi="Arial" w:cs="Arial"/>
          <w:b/>
          <w:bCs/>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center"/>
        <w:rPr>
          <w:rFonts w:ascii="Arial" w:eastAsia="Arial" w:hAnsi="Arial" w:cs="Arial"/>
          <w:b/>
          <w:bCs/>
          <w:sz w:val="22"/>
          <w:szCs w:val="22"/>
          <w:lang w:val="it-IT"/>
        </w:rPr>
      </w:pPr>
      <w:r>
        <w:rPr>
          <w:rFonts w:ascii="Arial" w:hAnsi="Arial"/>
          <w:b/>
          <w:bCs/>
          <w:sz w:val="22"/>
          <w:szCs w:val="22"/>
          <w:lang w:val="it-IT"/>
        </w:rPr>
        <w:t>Evidenziato che</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eastAsia="Arial" w:hAnsi="Arial" w:cs="Arial"/>
          <w:b/>
          <w:bCs/>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r>
        <w:rPr>
          <w:rFonts w:ascii="Arial" w:hAnsi="Arial"/>
          <w:sz w:val="22"/>
          <w:szCs w:val="22"/>
          <w:lang w:val="it-IT"/>
        </w:rPr>
        <w:t>Il Decreto Legge 113/2018 ha introdotto per le Polizie Locali dei Comuni Capoluogo di Provincia o con più di 100.000 abitanti l’utilizzo in via sperimentale di armi comuni ad impulsi elettrici, c.d. “</w:t>
      </w:r>
      <w:proofErr w:type="spellStart"/>
      <w:r>
        <w:rPr>
          <w:rFonts w:ascii="Arial" w:hAnsi="Arial"/>
          <w:sz w:val="22"/>
          <w:szCs w:val="22"/>
          <w:lang w:val="it-IT"/>
        </w:rPr>
        <w:t>taser</w:t>
      </w:r>
      <w:proofErr w:type="spellEnd"/>
      <w:r>
        <w:rPr>
          <w:rFonts w:ascii="Arial" w:hAnsi="Arial"/>
          <w:sz w:val="22"/>
          <w:szCs w:val="22"/>
          <w:lang w:val="it-IT"/>
        </w:rPr>
        <w:t>”.</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r>
        <w:rPr>
          <w:rFonts w:ascii="Arial" w:hAnsi="Arial"/>
          <w:sz w:val="22"/>
          <w:szCs w:val="22"/>
          <w:lang w:val="it-IT"/>
        </w:rPr>
        <w:t>Il Decreto Legge 33/2023 ha esteso il loro utilizzo ai Comuni tra 20.000 e 100.000 abitanti.</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b/>
          <w:bCs/>
          <w:sz w:val="22"/>
          <w:szCs w:val="22"/>
          <w:lang w:val="it-IT"/>
        </w:rPr>
      </w:pPr>
      <w:r>
        <w:rPr>
          <w:rFonts w:ascii="Arial" w:hAnsi="Arial"/>
          <w:sz w:val="22"/>
          <w:szCs w:val="22"/>
          <w:lang w:val="it-IT"/>
        </w:rPr>
        <w:t>Il Decreto Legge c.d. “</w:t>
      </w:r>
      <w:proofErr w:type="spellStart"/>
      <w:r>
        <w:rPr>
          <w:rFonts w:ascii="Arial" w:hAnsi="Arial"/>
          <w:sz w:val="22"/>
          <w:szCs w:val="22"/>
          <w:lang w:val="it-IT"/>
        </w:rPr>
        <w:t>Milleproroghe</w:t>
      </w:r>
      <w:proofErr w:type="spellEnd"/>
      <w:r>
        <w:rPr>
          <w:rFonts w:ascii="Arial" w:hAnsi="Arial"/>
          <w:sz w:val="22"/>
          <w:szCs w:val="22"/>
          <w:lang w:val="it-IT"/>
        </w:rPr>
        <w:t>” del 27 dicembre 2024 ha da ultimo esteso fino al 31 dicembre 2025 il termine entro cui anche i Comuni con popolazione inferiore ai 20.000 abitanti possono dotare di armi comuni ad impulsi elettrici gli Agenti di Polizia Locale.</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eastAsia="Arial" w:hAnsi="Arial" w:cs="Arial"/>
          <w:b/>
          <w:bCs/>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center"/>
        <w:rPr>
          <w:rFonts w:ascii="Arial" w:eastAsia="Arial" w:hAnsi="Arial" w:cs="Arial"/>
          <w:b/>
          <w:bCs/>
          <w:sz w:val="22"/>
          <w:szCs w:val="22"/>
          <w:lang w:val="it-IT"/>
        </w:rPr>
      </w:pPr>
      <w:r>
        <w:rPr>
          <w:rFonts w:ascii="Arial" w:hAnsi="Arial"/>
          <w:b/>
          <w:bCs/>
          <w:sz w:val="22"/>
          <w:szCs w:val="22"/>
          <w:lang w:val="it-IT"/>
        </w:rPr>
        <w:t>Considerato che</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eastAsia="Arial" w:hAnsi="Arial" w:cs="Arial"/>
          <w:b/>
          <w:bCs/>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r>
        <w:rPr>
          <w:rFonts w:ascii="Arial" w:hAnsi="Arial"/>
          <w:sz w:val="22"/>
          <w:szCs w:val="22"/>
          <w:lang w:val="it-IT"/>
        </w:rPr>
        <w:t>I “</w:t>
      </w:r>
      <w:proofErr w:type="spellStart"/>
      <w:r>
        <w:rPr>
          <w:rFonts w:ascii="Arial" w:hAnsi="Arial"/>
          <w:sz w:val="22"/>
          <w:szCs w:val="22"/>
          <w:lang w:val="it-IT"/>
        </w:rPr>
        <w:t>taser</w:t>
      </w:r>
      <w:proofErr w:type="spellEnd"/>
      <w:r>
        <w:rPr>
          <w:rFonts w:ascii="Arial" w:hAnsi="Arial"/>
          <w:sz w:val="22"/>
          <w:szCs w:val="22"/>
          <w:lang w:val="it-IT"/>
        </w:rPr>
        <w:t>” sono già utilizzati in oltre 100 Paesi nel Mondo come strumenti di difesa, sicurezza e deterrenza per le Forze dell’Ordine, permettendo di affrontare situazioni di minaccia e pericolo senza ricorrere a misure estreme.</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r>
        <w:rPr>
          <w:rFonts w:ascii="Arial" w:hAnsi="Arial"/>
          <w:sz w:val="22"/>
          <w:szCs w:val="22"/>
          <w:lang w:val="it-IT"/>
        </w:rPr>
        <w:t>Tali armi sono già in fase di utilizzo in diversi Comuni italiani ed il loro impiego nel corso del quotidiano lavoro degli Agenti ha riscosso l’apprezzamento unanime dei Sindacati di Polizia.</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sz w:val="22"/>
          <w:szCs w:val="22"/>
          <w:lang w:val="it-IT"/>
        </w:rPr>
      </w:pPr>
    </w:p>
    <w:p w:rsidR="00DE6A90" w:rsidRDefault="0096759B">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jc w:val="both"/>
        <w:rPr>
          <w:rFonts w:ascii="Arial" w:eastAsia="Arial" w:hAnsi="Arial" w:cs="Arial"/>
          <w:b/>
          <w:bCs/>
          <w:sz w:val="22"/>
          <w:szCs w:val="22"/>
          <w:lang w:val="it-IT"/>
        </w:rPr>
      </w:pPr>
      <w:r>
        <w:rPr>
          <w:rFonts w:ascii="Arial" w:hAnsi="Arial"/>
          <w:sz w:val="22"/>
          <w:szCs w:val="22"/>
          <w:lang w:val="it-IT"/>
        </w:rPr>
        <w:t>La formazione del personale per un corretto utilizzo delle armi comuni ad impulsi elettrici  segue un rigoroso protocollo stabilito dal Ministero dell’Interno e prevede corsi di formazione e preparazione degli Agenti per un corretto utilizzo di questo strumento, a garanzia della loro e altrui sicurezza.</w:t>
      </w:r>
    </w:p>
    <w:p w:rsidR="00DE6A90" w:rsidRDefault="00DE6A90">
      <w:pPr>
        <w:pStyle w:val="Didefault"/>
        <w:spacing w:before="0" w:line="240" w:lineRule="auto"/>
        <w:jc w:val="center"/>
        <w:rPr>
          <w:rFonts w:ascii="Arial" w:eastAsia="Arial" w:hAnsi="Arial" w:cs="Arial"/>
          <w:b/>
          <w:bCs/>
          <w:sz w:val="22"/>
          <w:szCs w:val="22"/>
          <w:lang w:val="it-IT"/>
        </w:rPr>
      </w:pPr>
    </w:p>
    <w:p w:rsidR="00DE6A90" w:rsidRDefault="0096759B">
      <w:pPr>
        <w:pStyle w:val="Didefault"/>
        <w:spacing w:before="0" w:after="240" w:line="240" w:lineRule="auto"/>
        <w:jc w:val="center"/>
        <w:rPr>
          <w:rFonts w:ascii="Arial" w:eastAsia="Arial" w:hAnsi="Arial" w:cs="Arial"/>
          <w:b/>
          <w:bCs/>
          <w:sz w:val="22"/>
          <w:szCs w:val="22"/>
          <w:lang w:val="it-IT"/>
        </w:rPr>
      </w:pPr>
      <w:r>
        <w:rPr>
          <w:rFonts w:ascii="Arial" w:hAnsi="Arial"/>
          <w:b/>
          <w:bCs/>
          <w:sz w:val="22"/>
          <w:szCs w:val="22"/>
          <w:lang w:val="it-IT"/>
        </w:rPr>
        <w:t>impegna il Sindaco e la Giunta Comunale a</w:t>
      </w:r>
    </w:p>
    <w:p w:rsidR="00DE6A90" w:rsidRDefault="0096759B">
      <w:pPr>
        <w:pStyle w:val="Didefault"/>
        <w:numPr>
          <w:ilvl w:val="0"/>
          <w:numId w:val="2"/>
        </w:numPr>
        <w:spacing w:before="0" w:line="240" w:lineRule="auto"/>
        <w:jc w:val="both"/>
        <w:rPr>
          <w:sz w:val="22"/>
          <w:szCs w:val="22"/>
          <w:lang w:val="it-IT"/>
        </w:rPr>
      </w:pPr>
      <w:r>
        <w:rPr>
          <w:rFonts w:ascii="Arial" w:hAnsi="Arial"/>
          <w:sz w:val="22"/>
          <w:szCs w:val="22"/>
          <w:lang w:val="it-IT"/>
        </w:rPr>
        <w:t>Avviare le procedure necessarie per introdurre il “</w:t>
      </w:r>
      <w:proofErr w:type="spellStart"/>
      <w:r>
        <w:rPr>
          <w:rFonts w:ascii="Arial" w:hAnsi="Arial"/>
          <w:sz w:val="22"/>
          <w:szCs w:val="22"/>
          <w:lang w:val="it-IT"/>
        </w:rPr>
        <w:t>taser</w:t>
      </w:r>
      <w:proofErr w:type="spellEnd"/>
      <w:r>
        <w:rPr>
          <w:rFonts w:ascii="Arial" w:hAnsi="Arial"/>
          <w:sz w:val="22"/>
          <w:szCs w:val="22"/>
          <w:lang w:val="it-IT"/>
        </w:rPr>
        <w:t>” tra gli strumenti in dotazione della Polizia Locale del Comune di [Nome del Comune], seguendo le linee guida e le normative vigenti</w:t>
      </w:r>
    </w:p>
    <w:p w:rsidR="00DE6A90" w:rsidRDefault="00DE6A90">
      <w:pPr>
        <w:pStyle w:val="Didefault"/>
        <w:spacing w:before="0" w:line="240" w:lineRule="auto"/>
        <w:jc w:val="both"/>
        <w:rPr>
          <w:rFonts w:ascii="Arial" w:eastAsia="Arial" w:hAnsi="Arial" w:cs="Arial"/>
          <w:sz w:val="22"/>
          <w:szCs w:val="22"/>
          <w:lang w:val="it-IT"/>
        </w:rPr>
      </w:pPr>
    </w:p>
    <w:p w:rsidR="00DE6A90" w:rsidRDefault="0096759B">
      <w:pPr>
        <w:pStyle w:val="Didefault"/>
        <w:numPr>
          <w:ilvl w:val="0"/>
          <w:numId w:val="2"/>
        </w:numPr>
        <w:spacing w:before="0" w:line="240" w:lineRule="auto"/>
        <w:jc w:val="both"/>
        <w:rPr>
          <w:sz w:val="22"/>
          <w:szCs w:val="22"/>
          <w:lang w:val="it-IT"/>
        </w:rPr>
      </w:pPr>
      <w:r>
        <w:rPr>
          <w:rFonts w:ascii="Arial" w:hAnsi="Arial"/>
          <w:sz w:val="22"/>
          <w:szCs w:val="22"/>
          <w:lang w:val="it-IT"/>
        </w:rPr>
        <w:t>Prevedere percorsi formativi specifici per gli agenti, in collaborazione con enti e istituzioni competenti, al fine di garantire un utilizzo appropriato e sicuro del “</w:t>
      </w:r>
      <w:proofErr w:type="spellStart"/>
      <w:r>
        <w:rPr>
          <w:rFonts w:ascii="Arial" w:hAnsi="Arial"/>
          <w:sz w:val="22"/>
          <w:szCs w:val="22"/>
          <w:lang w:val="it-IT"/>
        </w:rPr>
        <w:t>taser</w:t>
      </w:r>
      <w:proofErr w:type="spellEnd"/>
      <w:r>
        <w:rPr>
          <w:rFonts w:ascii="Arial" w:hAnsi="Arial"/>
          <w:sz w:val="22"/>
          <w:szCs w:val="22"/>
          <w:lang w:val="it-IT"/>
        </w:rPr>
        <w:t>”;</w:t>
      </w:r>
    </w:p>
    <w:p w:rsidR="00DE6A90" w:rsidRDefault="00DE6A90">
      <w:pPr>
        <w:pStyle w:val="Didefault"/>
        <w:spacing w:before="0" w:line="240" w:lineRule="auto"/>
        <w:jc w:val="both"/>
        <w:rPr>
          <w:rFonts w:ascii="Arial" w:eastAsia="Arial" w:hAnsi="Arial" w:cs="Arial"/>
          <w:sz w:val="22"/>
          <w:szCs w:val="22"/>
          <w:lang w:val="it-IT"/>
        </w:rPr>
      </w:pPr>
    </w:p>
    <w:p w:rsidR="00DE6A90" w:rsidRDefault="0096759B">
      <w:pPr>
        <w:pStyle w:val="Didefault"/>
        <w:numPr>
          <w:ilvl w:val="0"/>
          <w:numId w:val="2"/>
        </w:numPr>
        <w:spacing w:before="0" w:after="240" w:line="240" w:lineRule="auto"/>
        <w:jc w:val="both"/>
        <w:rPr>
          <w:sz w:val="22"/>
          <w:szCs w:val="22"/>
          <w:lang w:val="it-IT"/>
        </w:rPr>
      </w:pPr>
      <w:r>
        <w:rPr>
          <w:rFonts w:ascii="Arial" w:hAnsi="Arial"/>
          <w:sz w:val="22"/>
          <w:szCs w:val="22"/>
          <w:lang w:val="it-IT"/>
        </w:rPr>
        <w:t>Attivarsi per recuperare le necessarie risorse all’attuazione di tale proposta.</w:t>
      </w: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eastAsia="Arial" w:hAnsi="Arial" w:cs="Arial"/>
          <w:b/>
          <w:bCs/>
          <w:sz w:val="22"/>
          <w:szCs w:val="22"/>
          <w:lang w:val="it-IT"/>
        </w:rPr>
      </w:pPr>
    </w:p>
    <w:p w:rsidR="00DE6A90" w:rsidRDefault="00DE6A90">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line="240" w:lineRule="auto"/>
        <w:rPr>
          <w:rFonts w:ascii="Arial" w:eastAsia="Arial" w:hAnsi="Arial" w:cs="Arial"/>
          <w:b/>
          <w:bCs/>
          <w:sz w:val="22"/>
          <w:szCs w:val="22"/>
        </w:rPr>
      </w:pPr>
    </w:p>
    <w:p w:rsidR="00DE6A90" w:rsidRDefault="00DE6A90">
      <w:pPr>
        <w:pStyle w:val="Didefault"/>
        <w:spacing w:before="0" w:after="240" w:line="240" w:lineRule="auto"/>
        <w:jc w:val="center"/>
        <w:rPr>
          <w:rFonts w:ascii="Arial" w:eastAsia="Arial" w:hAnsi="Arial" w:cs="Arial"/>
          <w:b/>
          <w:bCs/>
          <w:sz w:val="22"/>
          <w:szCs w:val="22"/>
          <w:lang w:val="it-IT"/>
        </w:rPr>
      </w:pPr>
    </w:p>
    <w:p w:rsidR="00DE6A90" w:rsidRDefault="00DE6A90">
      <w:pPr>
        <w:pStyle w:val="Didefault"/>
        <w:spacing w:before="0" w:after="240" w:line="240" w:lineRule="auto"/>
        <w:jc w:val="both"/>
        <w:rPr>
          <w:rFonts w:ascii="Arial" w:eastAsia="Arial" w:hAnsi="Arial" w:cs="Arial"/>
          <w:sz w:val="22"/>
          <w:szCs w:val="22"/>
        </w:rPr>
      </w:pPr>
    </w:p>
    <w:p w:rsidR="00DE6A90" w:rsidRDefault="00DE6A90">
      <w:pPr>
        <w:pStyle w:val="Didefault"/>
        <w:spacing w:before="0" w:after="240" w:line="240" w:lineRule="auto"/>
        <w:jc w:val="center"/>
      </w:pPr>
    </w:p>
    <w:sectPr w:rsidR="00DE6A90" w:rsidSect="00DE6A90">
      <w:headerReference w:type="default" r:id="rId7"/>
      <w:footerReference w:type="default" r:id="rId8"/>
      <w:pgSz w:w="12240" w:h="142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A90" w:rsidRDefault="00DE6A90" w:rsidP="00DE6A90">
      <w:r>
        <w:separator/>
      </w:r>
    </w:p>
  </w:endnote>
  <w:endnote w:type="continuationSeparator" w:id="0">
    <w:p w:rsidR="00DE6A90" w:rsidRDefault="00DE6A90" w:rsidP="00DE6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erif">
    <w:altName w:val="Times New Roman"/>
    <w:charset w:val="00"/>
    <w:family w:val="roman"/>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90" w:rsidRDefault="00DE6A90">
    <w:pPr>
      <w:pStyle w:val="Intestazionee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A90" w:rsidRDefault="00DE6A90" w:rsidP="00DE6A90">
      <w:r>
        <w:separator/>
      </w:r>
    </w:p>
  </w:footnote>
  <w:footnote w:type="continuationSeparator" w:id="0">
    <w:p w:rsidR="00DE6A90" w:rsidRDefault="00DE6A90" w:rsidP="00DE6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A90" w:rsidRDefault="00DE6A90">
    <w:pPr>
      <w:pStyle w:val="Intestazioneepidipagin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76AD"/>
    <w:multiLevelType w:val="hybridMultilevel"/>
    <w:tmpl w:val="05C8186E"/>
    <w:numStyleLink w:val="Puntielenco"/>
  </w:abstractNum>
  <w:abstractNum w:abstractNumId="1">
    <w:nsid w:val="42130651"/>
    <w:multiLevelType w:val="hybridMultilevel"/>
    <w:tmpl w:val="05C8186E"/>
    <w:styleLink w:val="Puntielenco"/>
    <w:lvl w:ilvl="0" w:tplc="9D961A4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26C87C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10A233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BCC3440">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8A95F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2F6290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31E848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38E68D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BF5E0A9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283"/>
  <w:characterSpacingControl w:val="doNotCompress"/>
  <w:footnotePr>
    <w:footnote w:id="-1"/>
    <w:footnote w:id="0"/>
  </w:footnotePr>
  <w:endnotePr>
    <w:endnote w:id="-1"/>
    <w:endnote w:id="0"/>
  </w:endnotePr>
  <w:compat>
    <w:useFELayout/>
  </w:compat>
  <w:rsids>
    <w:rsidRoot w:val="00DE6A90"/>
    <w:rsid w:val="00024EF0"/>
    <w:rsid w:val="0096759B"/>
    <w:rsid w:val="00B05656"/>
    <w:rsid w:val="00B844D9"/>
    <w:rsid w:val="00DE6A90"/>
    <w:rsid w:val="00E377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E6A90"/>
    <w:rPr>
      <w:rFonts w:ascii="PT Serif" w:hAnsi="PT Serif" w:cs="Arial Unicode MS"/>
      <w:color w:val="000000"/>
      <w:sz w:val="24"/>
      <w:szCs w:val="24"/>
      <w:u w:color="000000"/>
      <w:shd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E6A90"/>
    <w:rPr>
      <w:u w:val="single"/>
    </w:rPr>
  </w:style>
  <w:style w:type="table" w:customStyle="1" w:styleId="TableNormal">
    <w:name w:val="Table Normal"/>
    <w:rsid w:val="00DE6A90"/>
    <w:tblPr>
      <w:tblInd w:w="0" w:type="dxa"/>
      <w:tblCellMar>
        <w:top w:w="0" w:type="dxa"/>
        <w:left w:w="0" w:type="dxa"/>
        <w:bottom w:w="0" w:type="dxa"/>
        <w:right w:w="0" w:type="dxa"/>
      </w:tblCellMar>
    </w:tblPr>
  </w:style>
  <w:style w:type="paragraph" w:customStyle="1" w:styleId="Intestazioneepidipagina">
    <w:name w:val="Intestazione e piè di pagina"/>
    <w:rsid w:val="00DE6A90"/>
    <w:pPr>
      <w:tabs>
        <w:tab w:val="right" w:pos="9020"/>
      </w:tabs>
    </w:pPr>
    <w:rPr>
      <w:rFonts w:ascii="Helvetica Neue" w:hAnsi="Helvetica Neue" w:cs="Arial Unicode MS"/>
      <w:color w:val="000000"/>
      <w:sz w:val="24"/>
      <w:szCs w:val="24"/>
      <w:shd w:val="nil"/>
    </w:rPr>
  </w:style>
  <w:style w:type="paragraph" w:customStyle="1" w:styleId="Didefault">
    <w:name w:val="Di default"/>
    <w:rsid w:val="00DE6A90"/>
    <w:pPr>
      <w:spacing w:before="160" w:line="288" w:lineRule="auto"/>
    </w:pPr>
    <w:rPr>
      <w:rFonts w:ascii="Helvetica Neue" w:eastAsia="Helvetica Neue" w:hAnsi="Helvetica Neue" w:cs="Helvetica Neue"/>
      <w:color w:val="000000"/>
      <w:sz w:val="24"/>
      <w:szCs w:val="24"/>
      <w:u w:color="000000"/>
      <w:shd w:val="nil"/>
      <w:lang w:val="fr-FR"/>
    </w:rPr>
  </w:style>
  <w:style w:type="numbering" w:customStyle="1" w:styleId="Puntielenco">
    <w:name w:val="Punti elenco"/>
    <w:rsid w:val="00DE6A90"/>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VOLPI</dc:creator>
  <cp:lastModifiedBy>VOLPI</cp:lastModifiedBy>
  <cp:revision>5</cp:revision>
  <dcterms:created xsi:type="dcterms:W3CDTF">2025-03-05T09:47:00Z</dcterms:created>
  <dcterms:modified xsi:type="dcterms:W3CDTF">2025-03-05T09:48:00Z</dcterms:modified>
</cp:coreProperties>
</file>