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1B" w:rsidRDefault="0053311B">
      <w:pPr>
        <w:pStyle w:val="EnvelopeReturn"/>
        <w:tabs>
          <w:tab w:val="left" w:pos="426"/>
        </w:tabs>
        <w:rPr>
          <w:rFonts w:ascii="Times New Roman" w:hAnsi="Times New Roman" w:cs="Times New Roman"/>
          <w:noProof/>
          <w:sz w:val="24"/>
          <w:szCs w:val="24"/>
        </w:rPr>
      </w:pPr>
    </w:p>
    <w:p w:rsidR="0053311B" w:rsidRDefault="0053311B">
      <w:pPr>
        <w:pStyle w:val="EnvelopeReturn"/>
        <w:tabs>
          <w:tab w:val="left" w:pos="426"/>
        </w:tabs>
        <w:jc w:val="center"/>
        <w:rPr>
          <w:rFonts w:ascii="Times New Roman" w:hAnsi="Times New Roman" w:cs="Times New Roman"/>
          <w:noProof/>
          <w:sz w:val="24"/>
          <w:szCs w:val="24"/>
        </w:rPr>
      </w:pPr>
    </w:p>
    <w:p w:rsidR="0053311B" w:rsidRDefault="0053311B">
      <w:pPr>
        <w:pStyle w:val="EnvelopeReturn"/>
        <w:tabs>
          <w:tab w:val="left" w:pos="426"/>
        </w:tabs>
        <w:jc w:val="center"/>
        <w:rPr>
          <w:rFonts w:ascii="Times New Roman" w:hAnsi="Times New Roman" w:cs="Times New Roman"/>
          <w:b/>
          <w:bCs/>
          <w:noProof/>
          <w:sz w:val="24"/>
          <w:szCs w:val="24"/>
        </w:rPr>
      </w:pPr>
      <w:r>
        <w:rPr>
          <w:rFonts w:ascii="Times New Roman" w:hAnsi="Times New Roman" w:cs="Times New Roman"/>
          <w:b/>
          <w:bCs/>
          <w:noProof/>
          <w:sz w:val="24"/>
          <w:szCs w:val="24"/>
        </w:rPr>
        <w:t>NOTA INTEGRATIVA</w:t>
      </w:r>
    </w:p>
    <w:p w:rsidR="0053311B" w:rsidRDefault="0053311B">
      <w:pPr>
        <w:pStyle w:val="EnvelopeReturn"/>
        <w:tabs>
          <w:tab w:val="left" w:pos="426"/>
        </w:tabs>
        <w:jc w:val="center"/>
        <w:rPr>
          <w:rFonts w:ascii="Times New Roman" w:hAnsi="Times New Roman" w:cs="Times New Roman"/>
          <w:b/>
          <w:bCs/>
          <w:noProof/>
          <w:sz w:val="24"/>
          <w:szCs w:val="24"/>
        </w:rPr>
      </w:pPr>
      <w:r>
        <w:rPr>
          <w:rFonts w:ascii="Times New Roman" w:hAnsi="Times New Roman" w:cs="Times New Roman"/>
          <w:b/>
          <w:bCs/>
          <w:noProof/>
          <w:sz w:val="24"/>
          <w:szCs w:val="24"/>
        </w:rPr>
        <w:t>alla redazione del  bilancio di previsione per l’esercizio finanziario 2017/2019.</w:t>
      </w:r>
    </w:p>
    <w:p w:rsidR="0053311B" w:rsidRDefault="0053311B">
      <w:pPr>
        <w:pStyle w:val="EnvelopeReturn"/>
        <w:tabs>
          <w:tab w:val="left" w:pos="426"/>
        </w:tabs>
        <w:jc w:val="both"/>
        <w:rPr>
          <w:rFonts w:ascii="Times New Roman" w:hAnsi="Times New Roman" w:cs="Times New Roman"/>
          <w:noProof/>
          <w:sz w:val="24"/>
          <w:szCs w:val="24"/>
        </w:rPr>
      </w:pPr>
    </w:p>
    <w:p w:rsidR="0053311B" w:rsidRDefault="0053311B">
      <w:pPr>
        <w:pStyle w:val="EnvelopeReturn"/>
        <w:tabs>
          <w:tab w:val="left" w:pos="426"/>
        </w:tabs>
        <w:jc w:val="both"/>
        <w:rPr>
          <w:rFonts w:ascii="Times New Roman" w:hAnsi="Times New Roman" w:cs="Times New Roman"/>
          <w:noProof/>
          <w:sz w:val="24"/>
          <w:szCs w:val="24"/>
        </w:rPr>
      </w:pPr>
    </w:p>
    <w:p w:rsidR="0053311B" w:rsidRDefault="0053311B">
      <w:pPr>
        <w:pStyle w:val="EnvelopeReturn"/>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Il nuovo sistema contabile armonizzato disciplinato dal D.Lgs. 118/2011  e 126/2014 e s.i.m. ha comportato una serie di inovazioni dal punto di vista finanziario e contabile nonché programmatorio gestionale di cui le più importanti sono:</w:t>
      </w:r>
    </w:p>
    <w:p w:rsidR="0053311B" w:rsidRDefault="0053311B">
      <w:pPr>
        <w:pStyle w:val="EnvelopeReturn"/>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I nuovo schemi di bilancio con una diversa strttura delle entrate e delle spese;</w:t>
      </w:r>
    </w:p>
    <w:p w:rsidR="0053311B" w:rsidRDefault="0053311B">
      <w:pPr>
        <w:pStyle w:val="EnvelopeReturn"/>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Previsioni delle entrate e delle spese in termini di cassa per il primo esercizio di riferinento;</w:t>
      </w:r>
    </w:p>
    <w:p w:rsidR="0053311B" w:rsidRDefault="0053311B">
      <w:pPr>
        <w:pStyle w:val="EnvelopeReturn"/>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Nuovi pareggi di bilancio di cui alla legge 243/2012 come modificato dalla legge di stabilità 2016;</w:t>
      </w:r>
    </w:p>
    <w:p w:rsidR="0053311B" w:rsidRDefault="0053311B">
      <w:pPr>
        <w:pStyle w:val="EnvelopeReturn"/>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Diverse attribuzioni in termini di variazioni al bilancio;</w:t>
      </w:r>
    </w:p>
    <w:p w:rsidR="0053311B" w:rsidRDefault="0053311B">
      <w:pPr>
        <w:pStyle w:val="EnvelopeReturn"/>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Nuovi principi contabili, tra i quali quello della competenza finanziaria potenziata che comporta, tra l’altro, la costituzione obbligatoria secondo specifiche regole del Fondo crediti di dubbia esigibilità e del Fondo pluriennale vincolato;</w:t>
      </w:r>
    </w:p>
    <w:p w:rsidR="0053311B" w:rsidRDefault="0053311B">
      <w:pPr>
        <w:pStyle w:val="EnvelopeReturn"/>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Previsione di nuovi piani dei conti integrati sia a livello finanziario che a livello economico-patrimoniale;</w:t>
      </w:r>
    </w:p>
    <w:p w:rsidR="0053311B" w:rsidRDefault="0053311B">
      <w:pPr>
        <w:pStyle w:val="EnvelopeReturn"/>
        <w:numPr>
          <w:ilvl w:val="0"/>
          <w:numId w:val="15"/>
        </w:numPr>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Documento U</w:t>
      </w:r>
      <w:r>
        <w:rPr>
          <w:rFonts w:ascii="Times New Roman" w:hAnsi="Times New Roman" w:cs="Times New Roman"/>
          <w:noProof/>
          <w:sz w:val="22"/>
          <w:szCs w:val="22"/>
        </w:rPr>
        <w:t>nico di P</w:t>
      </w:r>
      <w:r>
        <w:rPr>
          <w:rFonts w:ascii="Times New Roman" w:hAnsi="Times New Roman" w:cs="Times New Roman"/>
          <w:noProof/>
          <w:sz w:val="24"/>
          <w:szCs w:val="24"/>
        </w:rPr>
        <w:t>rogrammazione in sostituzione della Relazione Previsionale e Programmatica.</w:t>
      </w:r>
    </w:p>
    <w:p w:rsidR="0053311B" w:rsidRDefault="0053311B">
      <w:pPr>
        <w:pStyle w:val="EnvelopeReturn"/>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Tutte le predette innovazioni sono contenute nei nuovi principi contabili consultabili sul sito appositamente predisposto  dalla Ragioneria Generale dello Stato:</w:t>
      </w:r>
    </w:p>
    <w:p w:rsidR="0053311B" w:rsidRDefault="0053311B">
      <w:pPr>
        <w:pStyle w:val="EnvelopeReturn"/>
        <w:tabs>
          <w:tab w:val="left" w:pos="426"/>
        </w:tabs>
        <w:rPr>
          <w:color w:val="006621"/>
          <w:sz w:val="21"/>
          <w:szCs w:val="21"/>
          <w:shd w:val="clear" w:color="auto" w:fill="FFFFFF"/>
        </w:rPr>
      </w:pPr>
      <w:hyperlink r:id="rId7" w:history="1">
        <w:r>
          <w:rPr>
            <w:rStyle w:val="Hyperlink"/>
            <w:rFonts w:ascii="Arial" w:hAnsi="Arial" w:cs="Arial"/>
            <w:sz w:val="21"/>
            <w:szCs w:val="21"/>
            <w:shd w:val="clear" w:color="auto" w:fill="FFFFFF"/>
          </w:rPr>
          <w:t>www.rgs.mef.gov.it/versione-i/e-governme1/</w:t>
        </w:r>
        <w:r>
          <w:rPr>
            <w:rStyle w:val="Hyperlink"/>
            <w:rFonts w:ascii="Arial" w:hAnsi="Arial" w:cs="Arial"/>
            <w:b/>
            <w:bCs/>
            <w:sz w:val="21"/>
            <w:szCs w:val="21"/>
            <w:shd w:val="clear" w:color="auto" w:fill="FFFFFF"/>
          </w:rPr>
          <w:t>arconet</w:t>
        </w:r>
        <w:r>
          <w:rPr>
            <w:rStyle w:val="Hyperlink"/>
            <w:rFonts w:ascii="Arial" w:hAnsi="Arial" w:cs="Arial"/>
            <w:sz w:val="21"/>
            <w:szCs w:val="21"/>
            <w:shd w:val="clear" w:color="auto" w:fill="FFFFFF"/>
          </w:rPr>
          <w:t>/</w:t>
        </w:r>
      </w:hyperlink>
    </w:p>
    <w:p w:rsidR="0053311B" w:rsidRDefault="0053311B">
      <w:pPr>
        <w:pStyle w:val="EnvelopeReturn"/>
        <w:tabs>
          <w:tab w:val="left" w:pos="426"/>
        </w:tabs>
        <w:rPr>
          <w:rFonts w:ascii="Times New Roman" w:hAnsi="Times New Roman" w:cs="Times New Roman"/>
          <w:noProof/>
          <w:sz w:val="24"/>
          <w:szCs w:val="24"/>
        </w:rPr>
      </w:pPr>
    </w:p>
    <w:p w:rsidR="0053311B" w:rsidRDefault="0053311B">
      <w:pPr>
        <w:pStyle w:val="EnvelopeReturn"/>
        <w:tabs>
          <w:tab w:val="left" w:pos="426"/>
        </w:tabs>
        <w:jc w:val="both"/>
        <w:rPr>
          <w:rFonts w:ascii="Times New Roman" w:hAnsi="Times New Roman" w:cs="Times New Roman"/>
          <w:noProof/>
          <w:sz w:val="24"/>
          <w:szCs w:val="24"/>
        </w:rPr>
      </w:pPr>
      <w:r>
        <w:rPr>
          <w:rFonts w:ascii="Times New Roman" w:hAnsi="Times New Roman" w:cs="Times New Roman"/>
          <w:noProof/>
          <w:sz w:val="24"/>
          <w:szCs w:val="24"/>
        </w:rPr>
        <w:t>La presente nota è redatta ai sensi dell’art. 11 comma 5 del D. Lgs. 118/2011, che richiede che al bilancio di previsione venga allegata una nota contenente i seguenti elementi obbligatori:</w:t>
      </w:r>
    </w:p>
    <w:p w:rsidR="0053311B" w:rsidRDefault="0053311B">
      <w:pPr>
        <w:pStyle w:val="EnvelopeReturn"/>
        <w:tabs>
          <w:tab w:val="left" w:pos="426"/>
        </w:tabs>
        <w:jc w:val="both"/>
        <w:rPr>
          <w:rFonts w:ascii="Times New Roman" w:hAnsi="Times New Roman" w:cs="Times New Roman"/>
          <w:noProof/>
          <w:sz w:val="24"/>
          <w:szCs w:val="24"/>
        </w:rPr>
      </w:pPr>
    </w:p>
    <w:p w:rsidR="0053311B" w:rsidRDefault="0053311B">
      <w:pPr>
        <w:pStyle w:val="Default"/>
        <w:numPr>
          <w:ilvl w:val="0"/>
          <w:numId w:val="7"/>
        </w:numPr>
        <w:spacing w:after="18"/>
        <w:ind w:hanging="720"/>
        <w:jc w:val="both"/>
        <w:rPr>
          <w:rFonts w:ascii="Times New Roman" w:hAnsi="Times New Roman" w:cs="Times New Roman"/>
          <w:b/>
          <w:bCs/>
          <w:i/>
          <w:iCs/>
        </w:rPr>
      </w:pPr>
      <w:r>
        <w:rPr>
          <w:rFonts w:ascii="Times New Roman" w:hAnsi="Times New Roman" w:cs="Times New Roman"/>
          <w:b/>
          <w:bCs/>
          <w:i/>
          <w:iCs/>
        </w:rPr>
        <w:t>I criteri di valutazione adottati per la formulazione delle previsioni, con particolare riferimento agli stanziamenti riguardanti gli accantonamenti per le spese potenziali e al fondo crediti di dubbia esigibilità (FCDE), dando illustrazione dei crediti per i quali non è previsto l’accantonamento a tale fondo.</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Il Fondo crediti di dubbia esigibilità è stato costituito per € 39360,97   nel 2017, pari al 70% dell’importo calcoloto.</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Per la determinazionedelle somme iscritte in bilancio cui calcolatore il FCDE è stato individuato solo lo stanziamento della TARI così come da comunicazione del Responsabile del Servizio Tributi che ha valutato tutte le partite di entrata che rappresentavano rischi di certa esigibilità.</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Il fondo è stato determinato nell’importo di € 39360,97 calcolato sullo stanziamento TARI.</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Per gli anni 2018 e 2019 il FCDE è stato determinato, rispettivamente, in € 47795,47 ed € 56229,96.</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Non sono stati inderiti FCDE per l’IMU contabili in quanto accertato per cassa come previsto dall’allegato 4.2 (principi contabili applicati) del D. Lgs. 118/2011:</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La determinazione dell’accantonamento del fondo crediti dubbia esigibilità è stata preceduta da una dettagliata e puntuale analisi delle partite creditorie dell?Ente da parte dei Responsabili dei Servizi.</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 xml:space="preserve"> Tutti i dati sono stati tratti dai rendiconti e sono stati aggiornati sulla base delle effettive riscossioni.</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Il metodo di calcolo utilizzato è stato quello della media del quinquennio 2012/2016,tenuto conto delle riscossioni in c/competenza e conto residui solo per gli anni 2012/2014.</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 xml:space="preserve"> </w:t>
      </w:r>
    </w:p>
    <w:p w:rsidR="0053311B" w:rsidRDefault="0053311B">
      <w:pPr>
        <w:pStyle w:val="Default"/>
        <w:numPr>
          <w:ilvl w:val="0"/>
          <w:numId w:val="7"/>
        </w:numPr>
        <w:spacing w:after="18"/>
        <w:ind w:hanging="720"/>
        <w:rPr>
          <w:rFonts w:ascii="Times New Roman" w:hAnsi="Times New Roman" w:cs="Times New Roman"/>
          <w:b/>
          <w:bCs/>
          <w:i/>
          <w:iCs/>
        </w:rPr>
      </w:pPr>
      <w:r>
        <w:rPr>
          <w:rFonts w:ascii="Times New Roman" w:hAnsi="Times New Roman" w:cs="Times New Roman"/>
          <w:b/>
          <w:bCs/>
          <w:i/>
          <w:iCs/>
        </w:rPr>
        <w:t>l’elenco degli interventi programmati per spese di investimento finanziati col ricorso al debito e con le risorse disponibili.</w:t>
      </w:r>
    </w:p>
    <w:p w:rsidR="0053311B" w:rsidRDefault="0053311B">
      <w:pPr>
        <w:pStyle w:val="Default"/>
        <w:spacing w:after="18"/>
        <w:ind w:left="720"/>
        <w:rPr>
          <w:rFonts w:ascii="Times New Roman" w:hAnsi="Times New Roman" w:cs="Times New Roman"/>
          <w:noProof/>
          <w:color w:val="auto"/>
        </w:rPr>
      </w:pPr>
      <w:r>
        <w:rPr>
          <w:rFonts w:ascii="Times New Roman" w:hAnsi="Times New Roman" w:cs="Times New Roman"/>
          <w:b/>
          <w:bCs/>
          <w:i/>
          <w:iCs/>
        </w:rPr>
        <w:t xml:space="preserve"> </w:t>
      </w:r>
      <w:r>
        <w:rPr>
          <w:rFonts w:ascii="Times New Roman" w:hAnsi="Times New Roman" w:cs="Times New Roman"/>
          <w:noProof/>
          <w:color w:val="auto"/>
        </w:rPr>
        <w:t>Nell’ambito del nuovo documento di programmazione finanziaria non sono previsti interventi finanziati con ricorso all’indebitamento.</w:t>
      </w:r>
    </w:p>
    <w:p w:rsidR="0053311B" w:rsidRDefault="0053311B">
      <w:pPr>
        <w:pStyle w:val="Default"/>
        <w:spacing w:after="18"/>
        <w:rPr>
          <w:rFonts w:ascii="Times New Roman" w:hAnsi="Times New Roman" w:cs="Times New Roman"/>
          <w:noProof/>
          <w:color w:val="auto"/>
        </w:rPr>
      </w:pPr>
      <w:r>
        <w:rPr>
          <w:rFonts w:ascii="Times New Roman" w:hAnsi="Times New Roman" w:cs="Times New Roman"/>
          <w:noProof/>
          <w:color w:val="auto"/>
        </w:rPr>
        <w:t>Per il dettaglio della programmazione degli investimenti affrontati con altre risorse disponibili e altri finanziamenti si rinvia all’apposita sezione del documento unico di programmazione ed alla delibera id approvazione del piano triennale dei lavori pubblici.</w:t>
      </w:r>
    </w:p>
    <w:p w:rsidR="0053311B" w:rsidRDefault="0053311B">
      <w:pPr>
        <w:pStyle w:val="Default"/>
        <w:spacing w:after="18"/>
        <w:rPr>
          <w:rFonts w:ascii="Times New Roman" w:hAnsi="Times New Roman" w:cs="Times New Roman"/>
          <w:noProof/>
          <w:color w:val="auto"/>
        </w:rPr>
      </w:pPr>
    </w:p>
    <w:p w:rsidR="0053311B" w:rsidRDefault="0053311B">
      <w:pPr>
        <w:pStyle w:val="Default"/>
        <w:numPr>
          <w:ilvl w:val="0"/>
          <w:numId w:val="7"/>
        </w:numPr>
        <w:spacing w:after="18"/>
        <w:ind w:hanging="720"/>
        <w:jc w:val="both"/>
        <w:rPr>
          <w:rFonts w:ascii="Times New Roman" w:hAnsi="Times New Roman" w:cs="Times New Roman"/>
          <w:b/>
          <w:bCs/>
          <w:i/>
          <w:iCs/>
        </w:rPr>
      </w:pPr>
      <w:r>
        <w:rPr>
          <w:rFonts w:ascii="Times New Roman" w:hAnsi="Times New Roman" w:cs="Times New Roman"/>
          <w:b/>
          <w:bCs/>
          <w:i/>
          <w:iCs/>
        </w:rPr>
        <w:t>nel caso in cui gli stanziamenti riguardanti il fondo pluriennale vincolato comprendono anche investimenti ancora in corso di definizione, le cause che non hanno reso possibile porre in essere la programmazione necessaria alla definizione dei relativi crono programmi.</w:t>
      </w:r>
    </w:p>
    <w:p w:rsidR="0053311B" w:rsidRDefault="0053311B">
      <w:pPr>
        <w:pStyle w:val="Corpotesto1"/>
        <w:ind w:left="113" w:right="-43"/>
        <w:rPr>
          <w:rFonts w:cs="Times New Roman"/>
          <w:spacing w:val="-2"/>
        </w:rPr>
      </w:pPr>
      <w:r>
        <w:rPr>
          <w:rFonts w:cs="Times New Roman"/>
          <w:spacing w:val="-2"/>
        </w:rPr>
        <w:t>Il fondo pluriennale vincolato è un saldo finanziario, costituito da risorse già accertate e le relative obbligazioni passive dell’ente già impegnate ed esigibili in esercizi successivi a quello in cui è accertata l’entrata.</w:t>
      </w:r>
    </w:p>
    <w:p w:rsidR="0053311B" w:rsidRDefault="0053311B">
      <w:pPr>
        <w:pStyle w:val="Corpotesto1"/>
        <w:ind w:left="113"/>
        <w:rPr>
          <w:rFonts w:cs="Times New Roman"/>
          <w:spacing w:val="-2"/>
        </w:rPr>
      </w:pPr>
      <w:r>
        <w:rPr>
          <w:rFonts w:cs="Times New Roman"/>
          <w:spacing w:val="-2"/>
        </w:rPr>
        <w:t>Trattasi, quindi, di un saldo finanziario (che non può che essere maggiore di zero) che garantisce la copertura di spese imputate agli esercizi successivi a quello in corso, consentendo: di applicare il nuovo principio della competenza finanziaria; rendere evidente la distanza temporale intercorrente tra l’acquisizione dei finanziamenti e l’effettivo impiego di tali risorse.</w:t>
      </w:r>
    </w:p>
    <w:p w:rsidR="0053311B" w:rsidRDefault="0053311B">
      <w:pPr>
        <w:pStyle w:val="Corpotesto1"/>
        <w:ind w:left="113" w:right="-43"/>
        <w:rPr>
          <w:rFonts w:cs="Times New Roman"/>
          <w:spacing w:val="-2"/>
        </w:rPr>
      </w:pPr>
      <w:r>
        <w:rPr>
          <w:rFonts w:cs="Times New Roman"/>
          <w:spacing w:val="-2"/>
        </w:rPr>
        <w:t>A regime, l’ammontare complessivo del Fondo è pari alla sommatoria delle singole così dette economie registrate nei capitoli di spesa intestati ai singoli fondi pluriennali vincolati alla realizzazione di specifiche spese, appostati nei singoli programmi di bilancio cui si riferiscono le spese.</w:t>
      </w:r>
    </w:p>
    <w:p w:rsidR="0053311B" w:rsidRDefault="0053311B">
      <w:pPr>
        <w:pStyle w:val="Corpotesto1"/>
        <w:ind w:left="113"/>
        <w:rPr>
          <w:rFonts w:cs="Times New Roman"/>
          <w:spacing w:val="-2"/>
        </w:rPr>
      </w:pPr>
      <w:r>
        <w:rPr>
          <w:rFonts w:cs="Times New Roman"/>
          <w:spacing w:val="-2"/>
        </w:rPr>
        <w:t>Nel bilancio di previsione il fondo pluriennale è appostato tra le entrate per un importo corrispondente a quello degli stanziamenti di spesa definitivi dei fondi pluriennali del bilancio di previsione dell’esercizio precedente, a copertura:</w:t>
      </w:r>
    </w:p>
    <w:p w:rsidR="0053311B" w:rsidRDefault="0053311B">
      <w:pPr>
        <w:pStyle w:val="Corpotesto1"/>
        <w:ind w:left="113"/>
        <w:rPr>
          <w:rFonts w:cs="Times New Roman"/>
          <w:spacing w:val="-2"/>
        </w:rPr>
      </w:pPr>
    </w:p>
    <w:p w:rsidR="0053311B" w:rsidRDefault="0053311B">
      <w:pPr>
        <w:pStyle w:val="Corpotesto1"/>
        <w:widowControl w:val="0"/>
        <w:numPr>
          <w:ilvl w:val="0"/>
          <w:numId w:val="14"/>
        </w:numPr>
        <w:rPr>
          <w:rFonts w:cs="Times New Roman"/>
          <w:spacing w:val="-2"/>
        </w:rPr>
      </w:pPr>
      <w:r>
        <w:rPr>
          <w:rFonts w:cs="Times New Roman"/>
          <w:spacing w:val="-2"/>
        </w:rPr>
        <w:t xml:space="preserve">delle spese impegnate negli esercizi precedenti con imputazione all’esercizio in corso; </w:t>
      </w:r>
    </w:p>
    <w:p w:rsidR="0053311B" w:rsidRDefault="0053311B">
      <w:pPr>
        <w:pStyle w:val="Corpotesto1"/>
        <w:rPr>
          <w:rFonts w:cs="Times New Roman"/>
          <w:spacing w:val="-2"/>
        </w:rPr>
      </w:pPr>
    </w:p>
    <w:p w:rsidR="0053311B" w:rsidRDefault="0053311B">
      <w:pPr>
        <w:pStyle w:val="Corpotesto1"/>
        <w:rPr>
          <w:rFonts w:ascii="Arial" w:hAnsi="Arial" w:cs="Arial"/>
          <w:b/>
          <w:bCs/>
          <w:color w:val="000000"/>
        </w:rPr>
      </w:pPr>
      <w:r>
        <w:rPr>
          <w:rFonts w:cs="Times New Roman"/>
          <w:spacing w:val="-2"/>
        </w:rPr>
        <w:t>Nel bilancio 2017/2019 non vi sono stanziamenti riguardanti il FPV.</w:t>
      </w:r>
    </w:p>
    <w:p w:rsidR="0053311B" w:rsidRDefault="0053311B">
      <w:pPr>
        <w:rPr>
          <w:rFonts w:ascii="Arial" w:hAnsi="Arial" w:cs="Arial"/>
          <w:color w:val="000000"/>
        </w:rPr>
      </w:pPr>
    </w:p>
    <w:p w:rsidR="0053311B" w:rsidRDefault="0053311B">
      <w:pPr>
        <w:widowControl w:val="0"/>
        <w:autoSpaceDE w:val="0"/>
        <w:autoSpaceDN w:val="0"/>
        <w:adjustRightInd w:val="0"/>
        <w:jc w:val="both"/>
        <w:rPr>
          <w:rFonts w:ascii="Arial" w:hAnsi="Arial" w:cs="Arial"/>
          <w:sz w:val="12"/>
          <w:szCs w:val="12"/>
        </w:rPr>
      </w:pPr>
    </w:p>
    <w:p w:rsidR="0053311B" w:rsidRDefault="0053311B">
      <w:pPr>
        <w:pStyle w:val="Default"/>
        <w:numPr>
          <w:ilvl w:val="0"/>
          <w:numId w:val="7"/>
        </w:numPr>
        <w:spacing w:after="18"/>
        <w:ind w:hanging="720"/>
        <w:rPr>
          <w:rFonts w:ascii="Times New Roman" w:hAnsi="Times New Roman" w:cs="Times New Roman"/>
          <w:b/>
          <w:bCs/>
          <w:i/>
          <w:iCs/>
        </w:rPr>
      </w:pPr>
      <w:r>
        <w:rPr>
          <w:rFonts w:ascii="Times New Roman" w:hAnsi="Times New Roman" w:cs="Times New Roman"/>
          <w:b/>
          <w:bCs/>
          <w:i/>
          <w:iCs/>
        </w:rPr>
        <w:t>l’elenco delle garanzie principali o sussidiarie prestate dall’ente a favore di enti e di altri soggetti ai sensi delle leggi vigenti.</w:t>
      </w:r>
    </w:p>
    <w:p w:rsidR="0053311B" w:rsidRDefault="0053311B">
      <w:pPr>
        <w:pStyle w:val="Default"/>
        <w:spacing w:after="18"/>
        <w:ind w:left="720"/>
        <w:rPr>
          <w:rFonts w:ascii="Times New Roman" w:hAnsi="Times New Roman" w:cs="Times New Roman"/>
          <w:noProof/>
          <w:color w:val="auto"/>
        </w:rPr>
      </w:pPr>
      <w:r>
        <w:rPr>
          <w:rFonts w:ascii="Times New Roman" w:hAnsi="Times New Roman" w:cs="Times New Roman"/>
          <w:b/>
          <w:bCs/>
          <w:i/>
          <w:iCs/>
        </w:rPr>
        <w:t xml:space="preserve"> </w:t>
      </w:r>
      <w:r>
        <w:rPr>
          <w:rFonts w:ascii="Times New Roman" w:hAnsi="Times New Roman" w:cs="Times New Roman"/>
          <w:noProof/>
          <w:color w:val="auto"/>
        </w:rPr>
        <w:t>Non sono state rilasciate garanzie principali o sussidiarie a favore di enti o di altri soggetti.</w:t>
      </w:r>
    </w:p>
    <w:p w:rsidR="0053311B" w:rsidRDefault="0053311B">
      <w:pPr>
        <w:pStyle w:val="Default"/>
        <w:spacing w:after="18"/>
        <w:rPr>
          <w:rFonts w:ascii="Times New Roman" w:hAnsi="Times New Roman" w:cs="Times New Roman"/>
          <w:noProof/>
          <w:color w:val="auto"/>
        </w:rPr>
      </w:pPr>
    </w:p>
    <w:p w:rsidR="0053311B" w:rsidRDefault="0053311B">
      <w:pPr>
        <w:pStyle w:val="Default"/>
        <w:numPr>
          <w:ilvl w:val="0"/>
          <w:numId w:val="7"/>
        </w:numPr>
        <w:spacing w:after="18"/>
        <w:ind w:hanging="720"/>
        <w:jc w:val="both"/>
        <w:rPr>
          <w:rFonts w:ascii="Times New Roman" w:hAnsi="Times New Roman" w:cs="Times New Roman"/>
          <w:b/>
          <w:bCs/>
          <w:i/>
          <w:iCs/>
          <w:noProof/>
          <w:color w:val="auto"/>
        </w:rPr>
      </w:pPr>
      <w:r>
        <w:rPr>
          <w:rFonts w:ascii="Times New Roman" w:hAnsi="Times New Roman" w:cs="Times New Roman"/>
          <w:b/>
          <w:bCs/>
          <w:i/>
          <w:iCs/>
        </w:rPr>
        <w:t>gli oneri e gli impegni finanziari stimati e stanziati in bilancio, derivanti da contratti relativi a strumenti finanziari derivati o da contratti di finanziamento che includono una componente derivata</w:t>
      </w:r>
    </w:p>
    <w:p w:rsidR="0053311B" w:rsidRDefault="0053311B">
      <w:pPr>
        <w:pStyle w:val="Default"/>
        <w:spacing w:after="18"/>
        <w:rPr>
          <w:rFonts w:ascii="Times New Roman" w:hAnsi="Times New Roman" w:cs="Times New Roman"/>
          <w:noProof/>
          <w:color w:val="auto"/>
        </w:rPr>
      </w:pPr>
      <w:r>
        <w:rPr>
          <w:rFonts w:ascii="Times New Roman" w:hAnsi="Times New Roman" w:cs="Times New Roman"/>
          <w:noProof/>
          <w:color w:val="auto"/>
        </w:rPr>
        <w:t>Non sono previsti contratti relativi a strumenti finanziari derivati.</w:t>
      </w:r>
    </w:p>
    <w:p w:rsidR="0053311B" w:rsidRDefault="0053311B">
      <w:pPr>
        <w:pStyle w:val="Default"/>
        <w:spacing w:after="18"/>
        <w:rPr>
          <w:rFonts w:ascii="Times New Roman" w:hAnsi="Times New Roman" w:cs="Times New Roman"/>
          <w:b/>
          <w:bCs/>
          <w:noProof/>
          <w:color w:val="auto"/>
        </w:rPr>
      </w:pPr>
    </w:p>
    <w:p w:rsidR="0053311B" w:rsidRDefault="0053311B">
      <w:pPr>
        <w:pStyle w:val="Default"/>
        <w:numPr>
          <w:ilvl w:val="0"/>
          <w:numId w:val="7"/>
        </w:numPr>
        <w:spacing w:after="18"/>
        <w:ind w:hanging="720"/>
        <w:rPr>
          <w:rFonts w:ascii="Times New Roman" w:hAnsi="Times New Roman" w:cs="Times New Roman"/>
          <w:b/>
          <w:bCs/>
          <w:i/>
          <w:iCs/>
          <w:noProof/>
          <w:color w:val="auto"/>
        </w:rPr>
      </w:pPr>
      <w:r>
        <w:rPr>
          <w:rFonts w:ascii="Times New Roman" w:hAnsi="Times New Roman" w:cs="Times New Roman"/>
          <w:b/>
          <w:bCs/>
          <w:i/>
          <w:iCs/>
        </w:rPr>
        <w:t xml:space="preserve">l’elenco dei propri enti ed organismi strumentali, precisando che i relativi bilanci consuntivi sono consultabili nel proprio sito internet fermo restando quanto </w:t>
      </w:r>
      <w:r>
        <w:rPr>
          <w:rFonts w:ascii="Times New Roman" w:hAnsi="Times New Roman" w:cs="Times New Roman"/>
          <w:b/>
          <w:bCs/>
          <w:i/>
          <w:iCs/>
          <w:color w:val="auto"/>
        </w:rPr>
        <w:t>previsto per gli enti locali dall'articolo 172, comma 1, lettera a) del decreto legislativo 18 agosto 2000, n. 267</w:t>
      </w:r>
    </w:p>
    <w:p w:rsidR="0053311B" w:rsidRDefault="0053311B">
      <w:pPr>
        <w:pStyle w:val="Default"/>
        <w:spacing w:after="18"/>
        <w:rPr>
          <w:rFonts w:ascii="Times New Roman" w:hAnsi="Times New Roman" w:cs="Times New Roman"/>
          <w:noProof/>
          <w:color w:val="auto"/>
        </w:rPr>
      </w:pPr>
      <w:r>
        <w:rPr>
          <w:rFonts w:ascii="Times New Roman" w:hAnsi="Times New Roman" w:cs="Times New Roman"/>
          <w:noProof/>
          <w:color w:val="auto"/>
        </w:rPr>
        <w:t>Il Comune di Montebuono non detiene enti ed organismi strumentali.</w:t>
      </w:r>
    </w:p>
    <w:p w:rsidR="0053311B" w:rsidRDefault="0053311B">
      <w:pPr>
        <w:pStyle w:val="Default"/>
        <w:spacing w:after="18"/>
        <w:rPr>
          <w:rFonts w:ascii="Times New Roman" w:hAnsi="Times New Roman" w:cs="Times New Roman"/>
          <w:i/>
          <w:iCs/>
          <w:noProof/>
          <w:color w:val="auto"/>
        </w:rPr>
      </w:pPr>
    </w:p>
    <w:p w:rsidR="0053311B" w:rsidRDefault="0053311B">
      <w:pPr>
        <w:pStyle w:val="Default"/>
        <w:numPr>
          <w:ilvl w:val="0"/>
          <w:numId w:val="7"/>
        </w:numPr>
        <w:spacing w:after="18"/>
        <w:ind w:hanging="720"/>
        <w:rPr>
          <w:rFonts w:ascii="Times New Roman" w:hAnsi="Times New Roman" w:cs="Times New Roman"/>
          <w:b/>
          <w:bCs/>
          <w:i/>
          <w:iCs/>
          <w:color w:val="auto"/>
        </w:rPr>
      </w:pPr>
      <w:r>
        <w:rPr>
          <w:rFonts w:ascii="Times New Roman" w:hAnsi="Times New Roman" w:cs="Times New Roman"/>
          <w:b/>
          <w:bCs/>
          <w:i/>
          <w:iCs/>
          <w:color w:val="auto"/>
        </w:rPr>
        <w:t>l’elenco delle partecipazioni possedute con l’indicazione della relativa quota percentuale.</w:t>
      </w:r>
    </w:p>
    <w:p w:rsidR="0053311B" w:rsidRDefault="0053311B">
      <w:pPr>
        <w:pStyle w:val="Default"/>
        <w:spacing w:after="18"/>
        <w:ind w:left="720"/>
        <w:rPr>
          <w:rFonts w:ascii="Times New Roman" w:hAnsi="Times New Roman" w:cs="Times New Roman"/>
          <w:b/>
          <w:bCs/>
          <w:i/>
          <w:iCs/>
          <w:color w:val="auto"/>
        </w:rPr>
      </w:pPr>
      <w:r>
        <w:rPr>
          <w:rFonts w:ascii="Times New Roman" w:hAnsi="Times New Roman" w:cs="Times New Roman"/>
          <w:b/>
          <w:bCs/>
          <w:i/>
          <w:iCs/>
          <w:color w:val="auto"/>
        </w:rPr>
        <w:t xml:space="preserve"> </w:t>
      </w:r>
      <w:r>
        <w:rPr>
          <w:rFonts w:ascii="Times New Roman" w:hAnsi="Times New Roman" w:cs="Times New Roman"/>
          <w:noProof/>
          <w:color w:val="auto"/>
        </w:rPr>
        <w:t>Il Comune possiede le quote per la gestione dell Società partecipante SA.PRO.DIR. per la gestione del servizio rifiuti a prevalenza di capitale pubblico.</w:t>
      </w:r>
    </w:p>
    <w:p w:rsidR="0053311B" w:rsidRDefault="0053311B">
      <w:pPr>
        <w:pStyle w:val="Default"/>
        <w:ind w:left="709" w:hanging="709"/>
        <w:rPr>
          <w:rFonts w:ascii="Times New Roman" w:hAnsi="Times New Roman" w:cs="Times New Roman"/>
          <w:b/>
          <w:bCs/>
          <w:i/>
          <w:iCs/>
          <w:color w:val="auto"/>
        </w:rPr>
      </w:pPr>
    </w:p>
    <w:p w:rsidR="0053311B" w:rsidRDefault="0053311B">
      <w:pPr>
        <w:pStyle w:val="Default"/>
        <w:numPr>
          <w:ilvl w:val="0"/>
          <w:numId w:val="7"/>
        </w:numPr>
        <w:rPr>
          <w:rFonts w:ascii="Times New Roman" w:hAnsi="Times New Roman" w:cs="Times New Roman"/>
          <w:b/>
          <w:bCs/>
          <w:i/>
          <w:iCs/>
          <w:color w:val="auto"/>
        </w:rPr>
      </w:pPr>
      <w:r>
        <w:rPr>
          <w:rFonts w:ascii="Times New Roman" w:hAnsi="Times New Roman" w:cs="Times New Roman"/>
          <w:b/>
          <w:bCs/>
          <w:i/>
          <w:iCs/>
          <w:color w:val="auto"/>
        </w:rPr>
        <w:t>altre informazioni riguardanti le previsioni, richieste dalla legge o necessarie per l’interpretazione del bilancio</w:t>
      </w:r>
    </w:p>
    <w:p w:rsidR="0053311B" w:rsidRDefault="0053311B">
      <w:pPr>
        <w:pStyle w:val="Default"/>
        <w:rPr>
          <w:rFonts w:ascii="Times New Roman" w:hAnsi="Times New Roman" w:cs="Times New Roman"/>
          <w:b/>
          <w:bCs/>
          <w:i/>
          <w:iCs/>
          <w:color w:val="auto"/>
        </w:rPr>
      </w:pPr>
    </w:p>
    <w:p w:rsidR="0053311B" w:rsidRDefault="0053311B">
      <w:pPr>
        <w:pStyle w:val="Default"/>
        <w:rPr>
          <w:rFonts w:ascii="Times New Roman" w:hAnsi="Times New Roman" w:cs="Times New Roman"/>
          <w:b/>
          <w:bCs/>
          <w:i/>
          <w:iCs/>
          <w:color w:val="auto"/>
        </w:rPr>
      </w:pPr>
    </w:p>
    <w:p w:rsidR="0053311B" w:rsidRDefault="0053311B">
      <w:pPr>
        <w:pStyle w:val="Default"/>
        <w:rPr>
          <w:rFonts w:ascii="Times New Roman" w:hAnsi="Times New Roman" w:cs="Times New Roman"/>
          <w:b/>
          <w:bCs/>
          <w:i/>
          <w:iCs/>
          <w:color w:val="auto"/>
        </w:rPr>
      </w:pPr>
    </w:p>
    <w:p w:rsidR="0053311B" w:rsidRDefault="0053311B">
      <w:pPr>
        <w:pStyle w:val="Default"/>
        <w:spacing w:after="18"/>
        <w:rPr>
          <w:rFonts w:ascii="Times New Roman" w:hAnsi="Times New Roman" w:cs="Times New Roman"/>
          <w:noProof/>
          <w:color w:val="auto"/>
        </w:rPr>
      </w:pPr>
      <w:r>
        <w:rPr>
          <w:rFonts w:ascii="Times New Roman" w:hAnsi="Times New Roman" w:cs="Times New Roman"/>
          <w:noProof/>
          <w:color w:val="auto"/>
        </w:rPr>
        <w:t>ENTRATA:</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Le entrate tributarie sono state iscritte tenendo conto del vincolo imposto dalla Legge di Stabilità in relazione al blocco delle tariffe locali; di conseguenza, rimangono invariate le aliquote IMU, TASI, dell’imposta sulla pubblicità e diritti sulle pubbliche affissioni, della COSAP.</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 xml:space="preserve"> Per quanto riguarda la TASI la legge di stabilità ha soppresso l’imposta per l’abitazione principale non di lusso pertanto questo Ente non incasserà più la Tasi la quale viene rimborsata dallo Stato tramite il F.S.C. sull’importo incassato al 31/12 anziché sull’accertato.</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Per quanto rigurada la TARI  nel 2017 risulta uno scostamento positivo nei confronti dei contribuenti in quanto nel piano finanziario sono previste minori spese.</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SPESA:</w:t>
      </w: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La formulazione delle previsioni è stata effettuata, tenendo conto delle spese sostenute in passato, delle spese obbligatorie, di quelle consolidate e di quelle derivanti da obbligazioni già assunte in esercizi precedenti.</w:t>
      </w:r>
    </w:p>
    <w:p w:rsidR="0053311B" w:rsidRDefault="0053311B">
      <w:pPr>
        <w:pStyle w:val="Default"/>
        <w:spacing w:after="18"/>
        <w:jc w:val="both"/>
        <w:rPr>
          <w:rFonts w:ascii="Times New Roman" w:hAnsi="Times New Roman" w:cs="Times New Roman"/>
          <w:noProof/>
          <w:color w:val="auto"/>
        </w:rPr>
      </w:pPr>
    </w:p>
    <w:p w:rsidR="0053311B" w:rsidRDefault="0053311B">
      <w:pPr>
        <w:pStyle w:val="Default"/>
        <w:spacing w:after="18"/>
        <w:jc w:val="both"/>
        <w:rPr>
          <w:rFonts w:ascii="Times New Roman" w:hAnsi="Times New Roman" w:cs="Times New Roman"/>
          <w:noProof/>
          <w:color w:val="auto"/>
        </w:rPr>
      </w:pPr>
      <w:bookmarkStart w:id="0" w:name="_GoBack"/>
      <w:bookmarkEnd w:id="0"/>
    </w:p>
    <w:p w:rsidR="0053311B" w:rsidRDefault="0053311B">
      <w:pPr>
        <w:pStyle w:val="Corpotesto1"/>
        <w:spacing w:before="76"/>
        <w:rPr>
          <w:rFonts w:cs="Times New Roman"/>
        </w:rPr>
      </w:pPr>
    </w:p>
    <w:p w:rsidR="0053311B" w:rsidRDefault="0053311B">
      <w:pPr>
        <w:pStyle w:val="Corpotesto1"/>
        <w:spacing w:before="76"/>
        <w:jc w:val="center"/>
        <w:rPr>
          <w:rFonts w:cs="Times New Roman"/>
          <w:spacing w:val="-2"/>
        </w:rPr>
      </w:pPr>
      <w:r>
        <w:rPr>
          <w:rFonts w:cs="Times New Roman"/>
          <w:spacing w:val="-2"/>
        </w:rPr>
        <w:t>Responsabile dei Servizio Finanziario</w:t>
      </w:r>
    </w:p>
    <w:p w:rsidR="0053311B" w:rsidRDefault="0053311B">
      <w:pPr>
        <w:pStyle w:val="Corpotesto1"/>
        <w:spacing w:before="76"/>
        <w:jc w:val="center"/>
        <w:rPr>
          <w:rFonts w:cs="Times New Roman"/>
          <w:noProof/>
        </w:rPr>
      </w:pPr>
      <w:r>
        <w:rPr>
          <w:rFonts w:cs="Times New Roman"/>
          <w:spacing w:val="-2"/>
        </w:rPr>
        <w:t>. Giancarlo Camilli</w:t>
      </w:r>
    </w:p>
    <w:p w:rsidR="0053311B" w:rsidRDefault="0053311B">
      <w:pPr>
        <w:pStyle w:val="Default"/>
        <w:spacing w:after="18"/>
        <w:jc w:val="both"/>
        <w:rPr>
          <w:rFonts w:ascii="Times New Roman" w:hAnsi="Times New Roman" w:cs="Times New Roman"/>
          <w:noProof/>
          <w:color w:val="auto"/>
        </w:rPr>
      </w:pPr>
    </w:p>
    <w:p w:rsidR="0053311B" w:rsidRDefault="0053311B">
      <w:pPr>
        <w:pStyle w:val="Default"/>
        <w:spacing w:after="18"/>
        <w:jc w:val="both"/>
        <w:rPr>
          <w:rFonts w:ascii="Times New Roman" w:hAnsi="Times New Roman" w:cs="Times New Roman"/>
          <w:noProof/>
          <w:color w:val="auto"/>
        </w:rPr>
      </w:pPr>
    </w:p>
    <w:p w:rsidR="0053311B" w:rsidRDefault="0053311B">
      <w:pPr>
        <w:pStyle w:val="Default"/>
        <w:spacing w:after="18"/>
        <w:jc w:val="both"/>
        <w:rPr>
          <w:rFonts w:ascii="Times New Roman" w:hAnsi="Times New Roman" w:cs="Times New Roman"/>
          <w:noProof/>
          <w:color w:val="auto"/>
        </w:rPr>
      </w:pPr>
      <w:r>
        <w:rPr>
          <w:rFonts w:ascii="Times New Roman" w:hAnsi="Times New Roman" w:cs="Times New Roman"/>
          <w:noProof/>
          <w:color w:val="auto"/>
        </w:rPr>
        <w:t>.</w:t>
      </w:r>
    </w:p>
    <w:p w:rsidR="0053311B" w:rsidRDefault="0053311B">
      <w:pPr>
        <w:pStyle w:val="Caption"/>
        <w:jc w:val="center"/>
        <w:rPr>
          <w:rFonts w:ascii="Copperplate Gothic Bold" w:hAnsi="Copperplate Gothic Bold" w:cs="Copperplate Gothic Bold"/>
        </w:rPr>
      </w:pPr>
      <w:r>
        <w:rPr>
          <w:rFonts w:ascii="Copperplate Gothic Bold" w:hAnsi="Copperplate Gothic Bold" w:cs="Copperplate Gothic Bold"/>
        </w:rPr>
        <w:t xml:space="preserve">  </w:t>
      </w:r>
    </w:p>
    <w:sectPr w:rsidR="0053311B" w:rsidSect="0053311B">
      <w:footerReference w:type="default" r:id="rId8"/>
      <w:pgSz w:w="11907" w:h="16840" w:code="9"/>
      <w:pgMar w:top="568" w:right="850" w:bottom="28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11B" w:rsidRDefault="0053311B">
      <w:pPr>
        <w:rPr>
          <w:rFonts w:cs="Times New Roman"/>
        </w:rPr>
      </w:pPr>
      <w:r>
        <w:rPr>
          <w:rFonts w:cs="Times New Roman"/>
        </w:rPr>
        <w:separator/>
      </w:r>
    </w:p>
  </w:endnote>
  <w:endnote w:type="continuationSeparator" w:id="0">
    <w:p w:rsidR="0053311B" w:rsidRDefault="0053311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ernhardTango BT">
    <w:altName w:val="Mistral"/>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pperplate Gothic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1B" w:rsidRDefault="0053311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3311B" w:rsidRDefault="0053311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11B" w:rsidRDefault="0053311B">
      <w:pPr>
        <w:rPr>
          <w:rFonts w:cs="Times New Roman"/>
        </w:rPr>
      </w:pPr>
      <w:r>
        <w:rPr>
          <w:rFonts w:cs="Times New Roman"/>
        </w:rPr>
        <w:separator/>
      </w:r>
    </w:p>
  </w:footnote>
  <w:footnote w:type="continuationSeparator" w:id="0">
    <w:p w:rsidR="0053311B" w:rsidRDefault="0053311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290B"/>
    <w:multiLevelType w:val="hybridMultilevel"/>
    <w:tmpl w:val="946A1B8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236D49C3"/>
    <w:multiLevelType w:val="hybridMultilevel"/>
    <w:tmpl w:val="EEDAB0C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3493342F"/>
    <w:multiLevelType w:val="hybridMultilevel"/>
    <w:tmpl w:val="6F740E74"/>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37630003"/>
    <w:multiLevelType w:val="hybridMultilevel"/>
    <w:tmpl w:val="9A146BF2"/>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
    <w:nsid w:val="395779BC"/>
    <w:multiLevelType w:val="hybridMultilevel"/>
    <w:tmpl w:val="0AF23E7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3ED70690"/>
    <w:multiLevelType w:val="hybridMultilevel"/>
    <w:tmpl w:val="77C40AAA"/>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
    <w:nsid w:val="3F9911C6"/>
    <w:multiLevelType w:val="hybridMultilevel"/>
    <w:tmpl w:val="3C2A98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4E5C6830"/>
    <w:multiLevelType w:val="singleLevel"/>
    <w:tmpl w:val="752451FA"/>
    <w:lvl w:ilvl="0">
      <w:start w:val="14"/>
      <w:numFmt w:val="upperLetter"/>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8">
    <w:nsid w:val="512D7361"/>
    <w:multiLevelType w:val="hybridMultilevel"/>
    <w:tmpl w:val="7F021384"/>
    <w:lvl w:ilvl="0" w:tplc="04100011">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565D714B"/>
    <w:multiLevelType w:val="hybridMultilevel"/>
    <w:tmpl w:val="19088E7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59427CFF"/>
    <w:multiLevelType w:val="hybridMultilevel"/>
    <w:tmpl w:val="323EC38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64DD4755"/>
    <w:multiLevelType w:val="singleLevel"/>
    <w:tmpl w:val="C298F796"/>
    <w:lvl w:ilvl="0">
      <w:start w:val="14"/>
      <w:numFmt w:val="bullet"/>
      <w:lvlText w:val="-"/>
      <w:lvlJc w:val="left"/>
      <w:pPr>
        <w:tabs>
          <w:tab w:val="num" w:pos="360"/>
        </w:tabs>
        <w:ind w:left="360" w:hanging="360"/>
      </w:pPr>
      <w:rPr>
        <w:rFonts w:ascii="Times New Roman" w:hAnsi="Times New Roman" w:cs="Times New Roman" w:hint="default"/>
      </w:rPr>
    </w:lvl>
  </w:abstractNum>
  <w:abstractNum w:abstractNumId="12">
    <w:nsid w:val="68A7099F"/>
    <w:multiLevelType w:val="hybridMultilevel"/>
    <w:tmpl w:val="8364FC04"/>
    <w:lvl w:ilvl="0" w:tplc="0410000B">
      <w:start w:val="1"/>
      <w:numFmt w:val="bullet"/>
      <w:lvlText w:val=""/>
      <w:lvlJc w:val="left"/>
      <w:pPr>
        <w:ind w:left="833" w:hanging="360"/>
      </w:pPr>
      <w:rPr>
        <w:rFonts w:ascii="Wingdings" w:hAnsi="Wingdings" w:cs="Wingdings" w:hint="default"/>
      </w:rPr>
    </w:lvl>
    <w:lvl w:ilvl="1" w:tplc="04100003">
      <w:start w:val="1"/>
      <w:numFmt w:val="bullet"/>
      <w:lvlText w:val="o"/>
      <w:lvlJc w:val="left"/>
      <w:pPr>
        <w:ind w:left="1553" w:hanging="360"/>
      </w:pPr>
      <w:rPr>
        <w:rFonts w:ascii="Courier New" w:hAnsi="Courier New" w:cs="Courier New" w:hint="default"/>
      </w:rPr>
    </w:lvl>
    <w:lvl w:ilvl="2" w:tplc="04100005">
      <w:start w:val="1"/>
      <w:numFmt w:val="bullet"/>
      <w:lvlText w:val=""/>
      <w:lvlJc w:val="left"/>
      <w:pPr>
        <w:ind w:left="2273" w:hanging="360"/>
      </w:pPr>
      <w:rPr>
        <w:rFonts w:ascii="Wingdings" w:hAnsi="Wingdings" w:cs="Wingdings" w:hint="default"/>
      </w:rPr>
    </w:lvl>
    <w:lvl w:ilvl="3" w:tplc="04100001">
      <w:start w:val="1"/>
      <w:numFmt w:val="bullet"/>
      <w:lvlText w:val=""/>
      <w:lvlJc w:val="left"/>
      <w:pPr>
        <w:ind w:left="2993" w:hanging="360"/>
      </w:pPr>
      <w:rPr>
        <w:rFonts w:ascii="Symbol" w:hAnsi="Symbol" w:cs="Symbol" w:hint="default"/>
      </w:rPr>
    </w:lvl>
    <w:lvl w:ilvl="4" w:tplc="04100003">
      <w:start w:val="1"/>
      <w:numFmt w:val="bullet"/>
      <w:lvlText w:val="o"/>
      <w:lvlJc w:val="left"/>
      <w:pPr>
        <w:ind w:left="3713" w:hanging="360"/>
      </w:pPr>
      <w:rPr>
        <w:rFonts w:ascii="Courier New" w:hAnsi="Courier New" w:cs="Courier New" w:hint="default"/>
      </w:rPr>
    </w:lvl>
    <w:lvl w:ilvl="5" w:tplc="04100005">
      <w:start w:val="1"/>
      <w:numFmt w:val="bullet"/>
      <w:lvlText w:val=""/>
      <w:lvlJc w:val="left"/>
      <w:pPr>
        <w:ind w:left="4433" w:hanging="360"/>
      </w:pPr>
      <w:rPr>
        <w:rFonts w:ascii="Wingdings" w:hAnsi="Wingdings" w:cs="Wingdings" w:hint="default"/>
      </w:rPr>
    </w:lvl>
    <w:lvl w:ilvl="6" w:tplc="04100001">
      <w:start w:val="1"/>
      <w:numFmt w:val="bullet"/>
      <w:lvlText w:val=""/>
      <w:lvlJc w:val="left"/>
      <w:pPr>
        <w:ind w:left="5153" w:hanging="360"/>
      </w:pPr>
      <w:rPr>
        <w:rFonts w:ascii="Symbol" w:hAnsi="Symbol" w:cs="Symbol" w:hint="default"/>
      </w:rPr>
    </w:lvl>
    <w:lvl w:ilvl="7" w:tplc="04100003">
      <w:start w:val="1"/>
      <w:numFmt w:val="bullet"/>
      <w:lvlText w:val="o"/>
      <w:lvlJc w:val="left"/>
      <w:pPr>
        <w:ind w:left="5873" w:hanging="360"/>
      </w:pPr>
      <w:rPr>
        <w:rFonts w:ascii="Courier New" w:hAnsi="Courier New" w:cs="Courier New" w:hint="default"/>
      </w:rPr>
    </w:lvl>
    <w:lvl w:ilvl="8" w:tplc="04100005">
      <w:start w:val="1"/>
      <w:numFmt w:val="bullet"/>
      <w:lvlText w:val=""/>
      <w:lvlJc w:val="left"/>
      <w:pPr>
        <w:ind w:left="6593" w:hanging="360"/>
      </w:pPr>
      <w:rPr>
        <w:rFonts w:ascii="Wingdings" w:hAnsi="Wingdings" w:cs="Wingdings" w:hint="default"/>
      </w:rPr>
    </w:lvl>
  </w:abstractNum>
  <w:abstractNum w:abstractNumId="13">
    <w:nsid w:val="70B06CD8"/>
    <w:multiLevelType w:val="hybridMultilevel"/>
    <w:tmpl w:val="C004F11C"/>
    <w:lvl w:ilvl="0" w:tplc="04100003">
      <w:start w:val="1"/>
      <w:numFmt w:val="bullet"/>
      <w:lvlText w:val="o"/>
      <w:lvlJc w:val="left"/>
      <w:pPr>
        <w:tabs>
          <w:tab w:val="num" w:pos="4260"/>
        </w:tabs>
        <w:ind w:left="4260" w:hanging="360"/>
      </w:pPr>
      <w:rPr>
        <w:rFonts w:ascii="Courier New" w:hAnsi="Courier New" w:cs="Courier New" w:hint="default"/>
      </w:rPr>
    </w:lvl>
    <w:lvl w:ilvl="1" w:tplc="04100003">
      <w:start w:val="1"/>
      <w:numFmt w:val="bullet"/>
      <w:lvlText w:val="o"/>
      <w:lvlJc w:val="left"/>
      <w:pPr>
        <w:tabs>
          <w:tab w:val="num" w:pos="4980"/>
        </w:tabs>
        <w:ind w:left="4980" w:hanging="360"/>
      </w:pPr>
      <w:rPr>
        <w:rFonts w:ascii="Courier New" w:hAnsi="Courier New" w:cs="Courier New" w:hint="default"/>
      </w:rPr>
    </w:lvl>
    <w:lvl w:ilvl="2" w:tplc="04100005">
      <w:start w:val="1"/>
      <w:numFmt w:val="bullet"/>
      <w:lvlText w:val=""/>
      <w:lvlJc w:val="left"/>
      <w:pPr>
        <w:tabs>
          <w:tab w:val="num" w:pos="5700"/>
        </w:tabs>
        <w:ind w:left="5700" w:hanging="360"/>
      </w:pPr>
      <w:rPr>
        <w:rFonts w:ascii="Wingdings" w:hAnsi="Wingdings" w:cs="Wingdings" w:hint="default"/>
      </w:rPr>
    </w:lvl>
    <w:lvl w:ilvl="3" w:tplc="04100001">
      <w:start w:val="1"/>
      <w:numFmt w:val="bullet"/>
      <w:lvlText w:val=""/>
      <w:lvlJc w:val="left"/>
      <w:pPr>
        <w:tabs>
          <w:tab w:val="num" w:pos="6420"/>
        </w:tabs>
        <w:ind w:left="6420" w:hanging="360"/>
      </w:pPr>
      <w:rPr>
        <w:rFonts w:ascii="Symbol" w:hAnsi="Symbol" w:cs="Symbol" w:hint="default"/>
      </w:rPr>
    </w:lvl>
    <w:lvl w:ilvl="4" w:tplc="04100003">
      <w:start w:val="1"/>
      <w:numFmt w:val="bullet"/>
      <w:lvlText w:val="o"/>
      <w:lvlJc w:val="left"/>
      <w:pPr>
        <w:tabs>
          <w:tab w:val="num" w:pos="7140"/>
        </w:tabs>
        <w:ind w:left="7140" w:hanging="360"/>
      </w:pPr>
      <w:rPr>
        <w:rFonts w:ascii="Courier New" w:hAnsi="Courier New" w:cs="Courier New" w:hint="default"/>
      </w:rPr>
    </w:lvl>
    <w:lvl w:ilvl="5" w:tplc="04100005">
      <w:start w:val="1"/>
      <w:numFmt w:val="bullet"/>
      <w:lvlText w:val=""/>
      <w:lvlJc w:val="left"/>
      <w:pPr>
        <w:tabs>
          <w:tab w:val="num" w:pos="7860"/>
        </w:tabs>
        <w:ind w:left="7860" w:hanging="360"/>
      </w:pPr>
      <w:rPr>
        <w:rFonts w:ascii="Wingdings" w:hAnsi="Wingdings" w:cs="Wingdings" w:hint="default"/>
      </w:rPr>
    </w:lvl>
    <w:lvl w:ilvl="6" w:tplc="04100001">
      <w:start w:val="1"/>
      <w:numFmt w:val="bullet"/>
      <w:lvlText w:val=""/>
      <w:lvlJc w:val="left"/>
      <w:pPr>
        <w:tabs>
          <w:tab w:val="num" w:pos="8580"/>
        </w:tabs>
        <w:ind w:left="8580" w:hanging="360"/>
      </w:pPr>
      <w:rPr>
        <w:rFonts w:ascii="Symbol" w:hAnsi="Symbol" w:cs="Symbol" w:hint="default"/>
      </w:rPr>
    </w:lvl>
    <w:lvl w:ilvl="7" w:tplc="04100003">
      <w:start w:val="1"/>
      <w:numFmt w:val="bullet"/>
      <w:lvlText w:val="o"/>
      <w:lvlJc w:val="left"/>
      <w:pPr>
        <w:tabs>
          <w:tab w:val="num" w:pos="9300"/>
        </w:tabs>
        <w:ind w:left="9300" w:hanging="360"/>
      </w:pPr>
      <w:rPr>
        <w:rFonts w:ascii="Courier New" w:hAnsi="Courier New" w:cs="Courier New" w:hint="default"/>
      </w:rPr>
    </w:lvl>
    <w:lvl w:ilvl="8" w:tplc="04100005">
      <w:start w:val="1"/>
      <w:numFmt w:val="bullet"/>
      <w:lvlText w:val=""/>
      <w:lvlJc w:val="left"/>
      <w:pPr>
        <w:tabs>
          <w:tab w:val="num" w:pos="10020"/>
        </w:tabs>
        <w:ind w:left="10020" w:hanging="360"/>
      </w:pPr>
      <w:rPr>
        <w:rFonts w:ascii="Wingdings" w:hAnsi="Wingdings" w:cs="Wingdings" w:hint="default"/>
      </w:rPr>
    </w:lvl>
  </w:abstractNum>
  <w:abstractNum w:abstractNumId="14">
    <w:nsid w:val="75DC3C04"/>
    <w:multiLevelType w:val="hybridMultilevel"/>
    <w:tmpl w:val="4A3402B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1"/>
  </w:num>
  <w:num w:numId="3">
    <w:abstractNumId w:val="13"/>
  </w:num>
  <w:num w:numId="4">
    <w:abstractNumId w:val="2"/>
  </w:num>
  <w:num w:numId="5">
    <w:abstractNumId w:val="14"/>
  </w:num>
  <w:num w:numId="6">
    <w:abstractNumId w:val="8"/>
  </w:num>
  <w:num w:numId="7">
    <w:abstractNumId w:val="5"/>
  </w:num>
  <w:num w:numId="8">
    <w:abstractNumId w:val="0"/>
  </w:num>
  <w:num w:numId="9">
    <w:abstractNumId w:val="9"/>
  </w:num>
  <w:num w:numId="10">
    <w:abstractNumId w:val="10"/>
  </w:num>
  <w:num w:numId="11">
    <w:abstractNumId w:val="1"/>
  </w:num>
  <w:num w:numId="12">
    <w:abstractNumId w:val="4"/>
  </w:num>
  <w:num w:numId="13">
    <w:abstractNumId w:val="6"/>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11B"/>
    <w:rsid w:val="005331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0"/>
      <w:szCs w:val="20"/>
    </w:rPr>
  </w:style>
  <w:style w:type="paragraph" w:styleId="Heading1">
    <w:name w:val="heading 1"/>
    <w:basedOn w:val="Normal"/>
    <w:next w:val="Normal"/>
    <w:link w:val="Heading1Char"/>
    <w:uiPriority w:val="99"/>
    <w:qFormat/>
    <w:pPr>
      <w:keepNext/>
      <w:ind w:left="5664"/>
      <w:jc w:val="both"/>
      <w:outlineLvl w:val="0"/>
    </w:pPr>
    <w:rPr>
      <w:caps/>
      <w:sz w:val="24"/>
      <w:szCs w:val="24"/>
    </w:rPr>
  </w:style>
  <w:style w:type="paragraph" w:styleId="Heading2">
    <w:name w:val="heading 2"/>
    <w:basedOn w:val="Normal"/>
    <w:next w:val="Normal"/>
    <w:link w:val="Heading2Char"/>
    <w:uiPriority w:val="99"/>
    <w:qFormat/>
    <w:pPr>
      <w:keepNext/>
      <w:jc w:val="right"/>
      <w:outlineLvl w:val="1"/>
    </w:pPr>
    <w:rPr>
      <w:sz w:val="24"/>
      <w:szCs w:val="24"/>
    </w:rPr>
  </w:style>
  <w:style w:type="paragraph" w:styleId="Heading3">
    <w:name w:val="heading 3"/>
    <w:basedOn w:val="Normal"/>
    <w:next w:val="Normal"/>
    <w:link w:val="Heading3Char"/>
    <w:uiPriority w:val="99"/>
    <w:qFormat/>
    <w:pPr>
      <w:keepNext/>
      <w:ind w:left="3540"/>
      <w:jc w:val="center"/>
      <w:outlineLvl w:val="2"/>
    </w:pPr>
    <w:rPr>
      <w:sz w:val="24"/>
      <w:szCs w:val="24"/>
    </w:rPr>
  </w:style>
  <w:style w:type="paragraph" w:styleId="Heading4">
    <w:name w:val="heading 4"/>
    <w:basedOn w:val="Normal"/>
    <w:next w:val="Normal"/>
    <w:link w:val="Heading4Char"/>
    <w:uiPriority w:val="99"/>
    <w:qFormat/>
    <w:pPr>
      <w:keepNext/>
      <w:jc w:val="both"/>
      <w:outlineLvl w:val="3"/>
    </w:pPr>
    <w:rPr>
      <w:sz w:val="24"/>
      <w:szCs w:val="24"/>
    </w:rPr>
  </w:style>
  <w:style w:type="paragraph" w:styleId="Heading5">
    <w:name w:val="heading 5"/>
    <w:basedOn w:val="Normal"/>
    <w:next w:val="Normal"/>
    <w:link w:val="Heading5Char"/>
    <w:uiPriority w:val="99"/>
    <w:qFormat/>
    <w:pPr>
      <w:keepNext/>
      <w:ind w:left="4956"/>
      <w:outlineLvl w:val="4"/>
    </w:pPr>
    <w:rPr>
      <w:sz w:val="24"/>
      <w:szCs w:val="24"/>
    </w:rPr>
  </w:style>
  <w:style w:type="paragraph" w:styleId="Heading6">
    <w:name w:val="heading 6"/>
    <w:basedOn w:val="Normal"/>
    <w:next w:val="Normal"/>
    <w:link w:val="Heading6Char"/>
    <w:uiPriority w:val="99"/>
    <w:qFormat/>
    <w:pPr>
      <w:keepNext/>
      <w:ind w:left="5664"/>
      <w:outlineLvl w:val="5"/>
    </w:pPr>
    <w:rPr>
      <w:caps/>
      <w:sz w:val="24"/>
      <w:szCs w:val="24"/>
    </w:rPr>
  </w:style>
  <w:style w:type="paragraph" w:styleId="Heading7">
    <w:name w:val="heading 7"/>
    <w:basedOn w:val="Normal"/>
    <w:next w:val="Normal"/>
    <w:link w:val="Heading7Char"/>
    <w:uiPriority w:val="99"/>
    <w:qFormat/>
    <w:pPr>
      <w:keepNext/>
      <w:jc w:val="center"/>
      <w:outlineLvl w:val="6"/>
    </w:pPr>
    <w:rPr>
      <w:sz w:val="24"/>
      <w:szCs w:val="24"/>
    </w:rPr>
  </w:style>
  <w:style w:type="paragraph" w:styleId="Heading8">
    <w:name w:val="heading 8"/>
    <w:basedOn w:val="Normal"/>
    <w:next w:val="Normal"/>
    <w:link w:val="Heading8Char"/>
    <w:uiPriority w:val="99"/>
    <w:qFormat/>
    <w:pPr>
      <w:keepNext/>
      <w:ind w:left="3540"/>
      <w:jc w:val="center"/>
      <w:outlineLvl w:val="7"/>
    </w:pPr>
    <w:rPr>
      <w:b/>
      <w:bCs/>
    </w:rPr>
  </w:style>
  <w:style w:type="paragraph" w:styleId="Heading9">
    <w:name w:val="heading 9"/>
    <w:basedOn w:val="Normal"/>
    <w:next w:val="Normal"/>
    <w:link w:val="Heading9Char"/>
    <w:uiPriority w:val="99"/>
    <w:qFormat/>
    <w:pPr>
      <w:widowControl w:val="0"/>
      <w:autoSpaceDE w:val="0"/>
      <w:autoSpaceDN w:val="0"/>
      <w:adjustRightInd w:val="0"/>
      <w:jc w:val="center"/>
      <w:outlineLvl w:val="8"/>
    </w:pPr>
    <w:rPr>
      <w:rFonts w:ascii="Arial" w:hAnsi="Arial" w:cs="Arial"/>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caps/>
      <w:sz w:val="24"/>
      <w:szCs w:val="24"/>
    </w:rPr>
  </w:style>
  <w:style w:type="character" w:customStyle="1" w:styleId="Heading2Char">
    <w:name w:val="Heading 2 Char"/>
    <w:basedOn w:val="DefaultParagraphFont"/>
    <w:link w:val="Heading2"/>
    <w:uiPriority w:val="99"/>
    <w:rPr>
      <w:rFonts w:ascii="Times New Roman" w:hAnsi="Times New Roman" w:cs="Times New Roman"/>
      <w:sz w:val="24"/>
      <w:szCs w:val="24"/>
    </w:rPr>
  </w:style>
  <w:style w:type="character" w:customStyle="1" w:styleId="Heading3Char">
    <w:name w:val="Heading 3 Char"/>
    <w:basedOn w:val="DefaultParagraphFont"/>
    <w:link w:val="Heading3"/>
    <w:uiPriority w:val="99"/>
    <w:rPr>
      <w:rFonts w:ascii="Times New Roman" w:hAnsi="Times New Roman" w:cs="Times New Roman"/>
      <w:sz w:val="24"/>
      <w:szCs w:val="24"/>
    </w:rPr>
  </w:style>
  <w:style w:type="character" w:customStyle="1" w:styleId="Heading4Char">
    <w:name w:val="Heading 4 Char"/>
    <w:basedOn w:val="DefaultParagraphFont"/>
    <w:link w:val="Heading4"/>
    <w:uiPriority w:val="99"/>
    <w:rPr>
      <w:rFonts w:ascii="Times New Roman" w:hAnsi="Times New Roman" w:cs="Times New Roman"/>
      <w:sz w:val="24"/>
      <w:szCs w:val="24"/>
    </w:rPr>
  </w:style>
  <w:style w:type="character" w:customStyle="1" w:styleId="Heading5Char">
    <w:name w:val="Heading 5 Char"/>
    <w:basedOn w:val="DefaultParagraphFont"/>
    <w:link w:val="Heading5"/>
    <w:uiPriority w:val="99"/>
    <w:rPr>
      <w:rFonts w:ascii="Times New Roman" w:hAnsi="Times New Roman" w:cs="Times New Roman"/>
      <w:sz w:val="24"/>
      <w:szCs w:val="24"/>
    </w:rPr>
  </w:style>
  <w:style w:type="character" w:customStyle="1" w:styleId="Heading6Char">
    <w:name w:val="Heading 6 Char"/>
    <w:basedOn w:val="DefaultParagraphFont"/>
    <w:link w:val="Heading6"/>
    <w:uiPriority w:val="99"/>
    <w:rPr>
      <w:rFonts w:ascii="Times New Roman" w:hAnsi="Times New Roman" w:cs="Times New Roman"/>
      <w:caps/>
      <w:sz w:val="24"/>
      <w:szCs w:val="24"/>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character" w:customStyle="1" w:styleId="Heading8Char">
    <w:name w:val="Heading 8 Char"/>
    <w:basedOn w:val="DefaultParagraphFont"/>
    <w:link w:val="Heading8"/>
    <w:uiPriority w:val="99"/>
    <w:rPr>
      <w:rFonts w:ascii="Times New Roman" w:hAnsi="Times New Roman" w:cs="Times New Roman"/>
      <w:b/>
      <w:bCs/>
    </w:rPr>
  </w:style>
  <w:style w:type="character" w:customStyle="1" w:styleId="Heading9Char">
    <w:name w:val="Heading 9 Char"/>
    <w:basedOn w:val="DefaultParagraphFont"/>
    <w:link w:val="Heading9"/>
    <w:uiPriority w:val="99"/>
    <w:rPr>
      <w:rFonts w:ascii="Arial" w:hAnsi="Arial" w:cs="Arial"/>
      <w:sz w:val="28"/>
      <w:szCs w:val="28"/>
    </w:rPr>
  </w:style>
  <w:style w:type="paragraph" w:styleId="EnvelopeReturn">
    <w:name w:val="envelope return"/>
    <w:basedOn w:val="Normal"/>
    <w:uiPriority w:val="99"/>
    <w:rPr>
      <w:rFonts w:ascii="Arial" w:hAnsi="Arial" w:cs="Arial"/>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Corpotesto1">
    <w:name w:val="Corpo testo1"/>
    <w:basedOn w:val="Normal"/>
    <w:uiPriority w:val="99"/>
    <w:pPr>
      <w:jc w:val="both"/>
    </w:pPr>
    <w:rPr>
      <w:sz w:val="24"/>
      <w:szCs w:val="24"/>
    </w:rPr>
  </w:style>
  <w:style w:type="paragraph" w:styleId="Caption">
    <w:name w:val="caption"/>
    <w:basedOn w:val="Normal"/>
    <w:next w:val="Normal"/>
    <w:uiPriority w:val="99"/>
    <w:qFormat/>
    <w:pPr>
      <w:jc w:val="right"/>
    </w:pPr>
    <w:rPr>
      <w:rFonts w:ascii="Calisto MT" w:hAnsi="Calisto MT" w:cs="Calisto MT"/>
      <w:sz w:val="24"/>
      <w:szCs w:val="24"/>
    </w:rPr>
  </w:style>
  <w:style w:type="paragraph" w:styleId="BodyTextIndent">
    <w:name w:val="Body Text Indent"/>
    <w:basedOn w:val="Normal"/>
    <w:link w:val="BodyTextIndentChar"/>
    <w:uiPriority w:val="99"/>
    <w:pPr>
      <w:ind w:left="5664"/>
    </w:pPr>
    <w:rPr>
      <w:rFonts w:cs="Times New Roman"/>
      <w:sz w:val="24"/>
      <w:szCs w:val="24"/>
    </w:rPr>
  </w:style>
  <w:style w:type="character" w:customStyle="1" w:styleId="BodyTextIndentChar">
    <w:name w:val="Body Text Indent Char"/>
    <w:basedOn w:val="DefaultParagraphFont"/>
    <w:link w:val="BodyTextIndent"/>
    <w:uiPriority w:val="99"/>
    <w:rPr>
      <w:rFonts w:ascii="Times New Roman" w:hAnsi="Times New Roman" w:cs="Times New Roman"/>
      <w:sz w:val="20"/>
      <w:szCs w:val="20"/>
    </w:rPr>
  </w:style>
  <w:style w:type="paragraph" w:styleId="BodyTextIndent2">
    <w:name w:val="Body Text Indent 2"/>
    <w:basedOn w:val="Normal"/>
    <w:link w:val="BodyTextIndent2Char"/>
    <w:uiPriority w:val="99"/>
    <w:pPr>
      <w:ind w:left="4956"/>
    </w:pPr>
    <w:rPr>
      <w:rFonts w:cs="Times New Roman"/>
      <w:sz w:val="24"/>
      <w:szCs w:val="24"/>
    </w:r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rPr>
  </w:style>
  <w:style w:type="paragraph" w:styleId="BodyText2">
    <w:name w:val="Body Text 2"/>
    <w:basedOn w:val="Normal"/>
    <w:link w:val="BodyText2Char"/>
    <w:uiPriority w:val="99"/>
    <w:pPr>
      <w:pBdr>
        <w:bottom w:val="double" w:sz="4" w:space="1" w:color="auto"/>
      </w:pBdr>
      <w:jc w:val="center"/>
    </w:pPr>
    <w:rPr>
      <w:rFonts w:ascii="Book Antiqua" w:hAnsi="Book Antiqua" w:cs="Book Antiqua"/>
      <w:sz w:val="18"/>
      <w:szCs w:val="18"/>
    </w:rPr>
  </w:style>
  <w:style w:type="character" w:customStyle="1" w:styleId="BodyText2Char">
    <w:name w:val="Body Text 2 Char"/>
    <w:basedOn w:val="DefaultParagraphFont"/>
    <w:link w:val="BodyText2"/>
    <w:uiPriority w:val="99"/>
    <w:rPr>
      <w:rFonts w:ascii="Times New Roman" w:hAnsi="Times New Roman" w:cs="Times New Roman"/>
      <w:sz w:val="20"/>
      <w:szCs w:val="20"/>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3">
    <w:name w:val="Body Text 3"/>
    <w:basedOn w:val="Normal"/>
    <w:link w:val="BodyText3Char"/>
    <w:uiPriority w:val="99"/>
    <w:rPr>
      <w:rFonts w:cs="Times New Roman"/>
      <w:sz w:val="24"/>
      <w:szCs w:val="24"/>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paragraph" w:styleId="Header">
    <w:name w:val="header"/>
    <w:basedOn w:val="Normal"/>
    <w:link w:val="HeaderChar"/>
    <w:uiPriority w:val="99"/>
    <w:pPr>
      <w:tabs>
        <w:tab w:val="center" w:pos="4819"/>
        <w:tab w:val="right" w:pos="9638"/>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rPr>
  </w:style>
  <w:style w:type="paragraph" w:customStyle="1" w:styleId="titolobasso">
    <w:name w:val="titolo basso"/>
    <w:basedOn w:val="Footer"/>
    <w:uiPriority w:val="99"/>
    <w:rPr>
      <w:rFonts w:ascii="BernhardTango BT" w:hAnsi="BernhardTango BT" w:cs="BernhardTango BT"/>
      <w:sz w:val="16"/>
      <w:szCs w:val="16"/>
    </w:rPr>
  </w:style>
  <w:style w:type="paragraph" w:customStyle="1" w:styleId="Default">
    <w:name w:val="Default"/>
    <w:uiPriority w:val="99"/>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99"/>
    <w:qFormat/>
    <w:pPr>
      <w:ind w:left="708"/>
    </w:pPr>
    <w:rPr>
      <w:rFonts w:cs="Times New Roman"/>
    </w:rPr>
  </w:style>
  <w:style w:type="character" w:customStyle="1" w:styleId="Stiledidefault">
    <w:name w:val="Stile di default"/>
    <w:uiPriority w:val="99"/>
  </w:style>
  <w:style w:type="paragraph" w:customStyle="1" w:styleId="Normal0">
    <w:name w:val="[Normal]"/>
    <w:next w:val="Normal"/>
    <w:uiPriority w:val="99"/>
    <w:pPr>
      <w:widowControl w:val="0"/>
      <w:autoSpaceDE w:val="0"/>
      <w:autoSpaceDN w:val="0"/>
      <w:adjustRightInd w:val="0"/>
    </w:pPr>
    <w:rPr>
      <w:rFonts w:ascii="Arial" w:hAnsi="Arial" w:cs="Arial"/>
      <w:sz w:val="24"/>
      <w:szCs w:val="24"/>
    </w:rPr>
  </w:style>
  <w:style w:type="paragraph" w:styleId="DocumentMap">
    <w:name w:val="Document Map"/>
    <w:basedOn w:val="Normal"/>
    <w:next w:val="Normal"/>
    <w:link w:val="DocumentMapChar"/>
    <w:uiPriority w:val="99"/>
    <w:pPr>
      <w:widowControl w:val="0"/>
      <w:autoSpaceDE w:val="0"/>
      <w:autoSpaceDN w:val="0"/>
      <w:adjustRightInd w:val="0"/>
    </w:pPr>
    <w:rPr>
      <w:rFonts w:ascii="Tahoma" w:hAnsi="Tahoma" w:cs="Tahoma"/>
      <w:sz w:val="24"/>
      <w:szCs w:val="24"/>
      <w:shd w:val="clear" w:color="auto" w:fill="000080"/>
    </w:rPr>
  </w:style>
  <w:style w:type="character" w:customStyle="1" w:styleId="DocumentMapChar">
    <w:name w:val="Document Map Char"/>
    <w:basedOn w:val="DefaultParagraphFont"/>
    <w:link w:val="DocumentMap"/>
    <w:uiPriority w:val="99"/>
    <w:rPr>
      <w:rFonts w:ascii="Tahoma" w:hAnsi="Tahoma" w:cs="Tahoma"/>
      <w:sz w:val="24"/>
      <w:szCs w:val="24"/>
    </w:rPr>
  </w:style>
  <w:style w:type="paragraph" w:customStyle="1" w:styleId="Normale">
    <w:name w:val="[Normale]"/>
    <w:next w:val="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gs.mef.gov.it/VERSIONE-I/e-GOVERNME1/ARC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3</Pages>
  <Words>1109</Words>
  <Characters>6326</Characters>
  <Application>Microsoft Office Outlook</Application>
  <DocSecurity>0</DocSecurity>
  <Lines>0</Lines>
  <Paragraphs>0</Paragraphs>
  <ScaleCrop>false</ScaleCrop>
  <Company>Comune Di Montebuono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SILLAVENGO</dc:title>
  <dc:subject/>
  <dc:creator>Comune di</dc:creator>
  <cp:keywords/>
  <dc:description/>
  <cp:lastModifiedBy>Giancarlo</cp:lastModifiedBy>
  <cp:revision>14</cp:revision>
  <cp:lastPrinted>2016-03-30T13:43:00Z</cp:lastPrinted>
  <dcterms:created xsi:type="dcterms:W3CDTF">2017-04-24T10:38:00Z</dcterms:created>
  <dcterms:modified xsi:type="dcterms:W3CDTF">2017-04-24T11:49:00Z</dcterms:modified>
</cp:coreProperties>
</file>