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 TRIMESTRALE di TEMPESTIVITA' dei PAGAMENTI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II Trimestre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Esercizio finanziario 2022</w:t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che l'indice di tempestività dei pagamenti relativo al secondo trimestre (Apr-Giu)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0"/>
        </w:rPr>
        <w:t xml:space="preserve">2,3572</w:t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UZAno8VM8natGXd6MiQkosuNIg==">CgMxLjA4AHIhMW1aYndaX3NJV3B2eUdxVk5ZR09MWTl6bVhIc0g2RjMz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