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721969" cy="113793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969" cy="11379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COMUNE DI BAGNARA CALABRA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Stampa Tempestività Pagamenti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INDICATORE di TEMPESTIVITA' dei PAGAMENTI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Annuale 2022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Esercizio finanziario 2022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VISTO il decreto 9 novembre 2012, che modificando il decreto 9 ottobre 2012, n. 231 ha recepito la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direttiva 2011/7/UE del Parlamento Europeo e del Consiglio del 16 febbraio 2011 relativa alla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lotta contro i ritardi di pagamento nelle transazioni commerciali;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VISTA la legge 23 giugno 2014, n. 89 di conversione del decreto legge 24 aprile 2014, 66;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VISTO il DPCM del 22 settembre 2014, art. 10 ''Definizione degli schemi e delle modalità per la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pubblicazione su internet dei dati relativi alle entrate e alle spese dei bilanci preventivi e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consuntivi dell'indicatore annuale di tempestività delle amministrazioni pubbliche'';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VISTA la circolare del MEF n. 27 del 24/11/2014;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VISTA la circolare del MEF n. 3 del 14/01/2015;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VISTA la circolare del MEF n. 22 del 22/07/2015;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che l'indice di tempestività dei pagamenti relativo all'esercizio 2022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determinato secondo le indicazioni del su indicato DPCM 22 settembre 2014 risulta essere:</w:t>
      </w:r>
    </w:p>
    <w:p w:rsidR="00000000" w:rsidDel="00000000" w:rsidP="00000000" w:rsidRDefault="00000000" w:rsidRPr="00000000" w14:paraId="0000001C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13,5026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  <w:t xml:space="preserve">Il Responsabile dell'UOC 3 </w:t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  <w:t xml:space="preserve">“Finanziaria – Tributi – Commercio e Contenzioso”</w:t>
      </w:r>
    </w:p>
    <w:p w:rsidR="00000000" w:rsidDel="00000000" w:rsidP="00000000" w:rsidRDefault="00000000" w:rsidRPr="00000000" w14:paraId="0000001F">
      <w:pPr>
        <w:jc w:val="right"/>
        <w:rPr>
          <w:sz w:val="44"/>
          <w:szCs w:val="44"/>
        </w:rPr>
      </w:pPr>
      <w:r w:rsidDel="00000000" w:rsidR="00000000" w:rsidRPr="00000000">
        <w:rPr>
          <w:rtl w:val="0"/>
        </w:rPr>
        <w:t xml:space="preserve"> f.to DOTT. GIUSEPPE MARINO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BXLeBDYo2nUyvZtrWH+kCQSig==">CgMxLjA4AHIhMXlmSmF1dElYdl9WZ01WWEMzTktsS25wQXUzc296dHNK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2023-01-31T10:01:00Z</dcterms:created>
  <dc:creator>Protezione Civile</dc:creator>
</cp:coreProperties>
</file>