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254" w:rsidRDefault="00F625DF" w:rsidP="00493374">
      <w:pPr>
        <w:jc w:val="both"/>
      </w:pPr>
      <w:r>
        <w:t>RICLASSIF</w:t>
      </w:r>
      <w:r w:rsidR="00432D27">
        <w:t>ICAZIONE DEL STATO PATRIMONIALE – RELAZIONE.</w:t>
      </w:r>
    </w:p>
    <w:p w:rsidR="007A7254" w:rsidRDefault="007A7254" w:rsidP="00493374">
      <w:pPr>
        <w:jc w:val="both"/>
      </w:pPr>
    </w:p>
    <w:p w:rsidR="007A7254" w:rsidRDefault="007A7254" w:rsidP="00493374">
      <w:pPr>
        <w:jc w:val="both"/>
      </w:pPr>
      <w:r>
        <w:t xml:space="preserve">La prima attività richiesta per l’adozione della nuova contabilità è la riclassificazione delle voci dello stato patrimoniale chiuso al 31 dicembre 2015 nel rispetto del DPR 194/1996, secondo </w:t>
      </w:r>
      <w:r w:rsidR="00F625DF">
        <w:t xml:space="preserve"> </w:t>
      </w:r>
      <w:r>
        <w:t>l’articolazione prevista dallo stato patrimoniale allegato al decreto legislativo n. 118 del 2011.</w:t>
      </w:r>
    </w:p>
    <w:p w:rsidR="007A7254" w:rsidRDefault="007A7254" w:rsidP="00493374">
      <w:pPr>
        <w:jc w:val="both"/>
      </w:pPr>
      <w:r>
        <w:t>A tal fine si è proceduto a riclassificare le singole voci dell’inventario secondo il piano del conti patrimoniale.</w:t>
      </w:r>
    </w:p>
    <w:p w:rsidR="007A7254" w:rsidRDefault="007A7254" w:rsidP="00493374">
      <w:pPr>
        <w:jc w:val="both"/>
      </w:pPr>
    </w:p>
    <w:p w:rsidR="00F439E9" w:rsidRDefault="007A7254" w:rsidP="00493374">
      <w:pPr>
        <w:jc w:val="both"/>
      </w:pPr>
      <w:r>
        <w:t>La seconda attività richiesta</w:t>
      </w:r>
      <w:r w:rsidR="00F439E9" w:rsidRPr="007A7254">
        <w:t xml:space="preserve"> </w:t>
      </w:r>
      <w:r>
        <w:t>consiste nell’applicazione dei criteri di valutazione dell’attivo e del passivo previsti dal principio applicato della contabilità economico patrimoniale all’inventario e allo stato patrimoniale riclassificato.</w:t>
      </w:r>
    </w:p>
    <w:p w:rsidR="00F82D93" w:rsidRDefault="00F82D93" w:rsidP="00493374">
      <w:pPr>
        <w:jc w:val="both"/>
      </w:pPr>
    </w:p>
    <w:p w:rsidR="00F82D93" w:rsidRDefault="00F82D93" w:rsidP="00493374">
      <w:pPr>
        <w:jc w:val="both"/>
      </w:pPr>
      <w:r>
        <w:t>In virtù di tali operazioni</w:t>
      </w:r>
      <w:r w:rsidR="00AF4AE3">
        <w:t xml:space="preserve"> alcune voci dello stato patrimoniale e dell’inventario hanno subito delle modifiche dovute sia ad una diversa allocazione della posta contabile sia all’applicazione dei nuovi criteri di valutazione.</w:t>
      </w:r>
    </w:p>
    <w:p w:rsidR="00153A7B" w:rsidRDefault="00153A7B" w:rsidP="00493374">
      <w:pPr>
        <w:jc w:val="both"/>
      </w:pPr>
    </w:p>
    <w:p w:rsidR="00153A7B" w:rsidRDefault="00153A7B" w:rsidP="00493374">
      <w:pPr>
        <w:jc w:val="both"/>
      </w:pPr>
      <w:r>
        <w:t>I</w:t>
      </w:r>
      <w:r w:rsidR="00D65C15">
        <w:t xml:space="preserve"> valori riportati</w:t>
      </w:r>
      <w:r>
        <w:t xml:space="preserve"> al 31/12/2015 </w:t>
      </w:r>
      <w:r w:rsidR="00D65C15">
        <w:t>sono</w:t>
      </w:r>
      <w:r>
        <w:t xml:space="preserve"> rappresentat</w:t>
      </w:r>
      <w:r w:rsidR="00D65C15">
        <w:t>i</w:t>
      </w:r>
      <w:r>
        <w:t xml:space="preserve"> al netto del fondo ammortamento cumulato nel tempo, tenendo conto del momento iniziale in cui il </w:t>
      </w:r>
      <w:r w:rsidR="00D65C15">
        <w:t xml:space="preserve">singolo </w:t>
      </w:r>
      <w:r>
        <w:t>cespite ha iniziato ad essere utilizzato e della vita utile media per la specifica tipologia di bene.</w:t>
      </w:r>
    </w:p>
    <w:p w:rsidR="00AF4AE3" w:rsidRDefault="00AF4AE3" w:rsidP="00493374">
      <w:pPr>
        <w:jc w:val="both"/>
      </w:pPr>
    </w:p>
    <w:p w:rsidR="00AF4AE3" w:rsidRDefault="00AF4AE3" w:rsidP="00493374">
      <w:pPr>
        <w:jc w:val="both"/>
      </w:pPr>
      <w:r>
        <w:t>In particolare:</w:t>
      </w:r>
    </w:p>
    <w:p w:rsidR="00AF4AE3" w:rsidRDefault="00AF4AE3" w:rsidP="00493374">
      <w:pPr>
        <w:jc w:val="both"/>
      </w:pPr>
      <w:r>
        <w:t>Le immobilizzazioni immateriali sono costituite dai software gestionali. Nello stato patrimoniale DPR 194/1996 esse erano appostate unitamente all’hardware.</w:t>
      </w:r>
    </w:p>
    <w:p w:rsidR="00AF4AE3" w:rsidRDefault="00AF4AE3" w:rsidP="00493374">
      <w:pPr>
        <w:jc w:val="both"/>
      </w:pPr>
    </w:p>
    <w:p w:rsidR="00AF4AE3" w:rsidRDefault="00AF4AE3" w:rsidP="00493374">
      <w:pPr>
        <w:jc w:val="both"/>
      </w:pPr>
      <w:r>
        <w:t>Relativamente alle immobilizzazioni materiali si precisa che:</w:t>
      </w:r>
    </w:p>
    <w:p w:rsidR="00AF4AE3" w:rsidRDefault="00AF4AE3" w:rsidP="00493374">
      <w:pPr>
        <w:jc w:val="both"/>
      </w:pPr>
    </w:p>
    <w:p w:rsidR="00AF4AE3" w:rsidRDefault="00384D0E" w:rsidP="00493374">
      <w:pPr>
        <w:jc w:val="both"/>
      </w:pPr>
      <w:r>
        <w:t xml:space="preserve">I terreni sono stati valutati in base alla rendita catastale rivalutata, tranne quelli acquistati negli ultimi decenni (ad esempio Campi di Cerio, terreni fascia costiera </w:t>
      </w:r>
      <w:proofErr w:type="spellStart"/>
      <w:r>
        <w:t>Mesola</w:t>
      </w:r>
      <w:proofErr w:type="spellEnd"/>
      <w:r>
        <w:t>). La differenza esistente tra i due stati patrimoniali, tuttavia, è dovuta principalmente al fatto che una parte dei centri sportivi, che prima era allocata nei</w:t>
      </w:r>
      <w:r w:rsidR="002E141F">
        <w:t xml:space="preserve"> terreni, è stata </w:t>
      </w:r>
      <w:r w:rsidR="00831C87">
        <w:t>trasferita</w:t>
      </w:r>
      <w:r w:rsidR="002E141F">
        <w:t xml:space="preserve"> nella voce specifica (centri sportivi), contenuta nella più ampia voce “fabbricati”.</w:t>
      </w:r>
    </w:p>
    <w:p w:rsidR="002E141F" w:rsidRDefault="002E141F" w:rsidP="00493374">
      <w:pPr>
        <w:jc w:val="both"/>
      </w:pPr>
    </w:p>
    <w:p w:rsidR="00355E45" w:rsidRDefault="00355E45" w:rsidP="00493374">
      <w:pPr>
        <w:jc w:val="both"/>
      </w:pPr>
      <w:r>
        <w:t>Per tutti i beni immobili, ai fini della valutazione è stato tenuto conto del principio applicato della contabilità economico-patrimoniale n. 4.15 secondo cui “ai fini dell’ammortamento i terreni e gli edifici soprastanti sono contabilizzati separatamente anche se acquisiti congiuntamente”, in quanto i terreni non sono oggetto di ammortamento.</w:t>
      </w:r>
    </w:p>
    <w:p w:rsidR="00AF4AE3" w:rsidRDefault="00355E45" w:rsidP="00493374">
      <w:pPr>
        <w:jc w:val="both"/>
      </w:pPr>
      <w:r>
        <w:t xml:space="preserve">Visto che negli atti di provenienza degli edifici il valore del terreno non risulta indicato in modo separato e distinto da quello dell’edificio soprastante, è stato applicato il parametro forfettario del 20% al valore del cespite,  mutuando la disciplina prevista dall’art. 36 comma 7 del </w:t>
      </w:r>
      <w:proofErr w:type="spellStart"/>
      <w:r>
        <w:t>DL</w:t>
      </w:r>
      <w:proofErr w:type="spellEnd"/>
      <w:r>
        <w:t xml:space="preserve"> n. 223/2006, successivamente modificato dall’art. 2 comma 18 del </w:t>
      </w:r>
      <w:proofErr w:type="spellStart"/>
      <w:r>
        <w:t>DL</w:t>
      </w:r>
      <w:proofErr w:type="spellEnd"/>
      <w:r>
        <w:t xml:space="preserve"> 262/2006, convertito con modificazioni dalla legge 286/2006.</w:t>
      </w:r>
    </w:p>
    <w:p w:rsidR="00AF4AE3" w:rsidRDefault="00AF4AE3" w:rsidP="00493374">
      <w:pPr>
        <w:jc w:val="both"/>
      </w:pPr>
    </w:p>
    <w:p w:rsidR="00B106E9" w:rsidRDefault="00B106E9" w:rsidP="00493374">
      <w:pPr>
        <w:jc w:val="both"/>
      </w:pPr>
      <w:r>
        <w:t>I beni demaniali sono</w:t>
      </w:r>
      <w:r w:rsidR="00EC4331">
        <w:t xml:space="preserve"> stati valutati al costo di acquisto o di costruzione e sono</w:t>
      </w:r>
      <w:r>
        <w:t xml:space="preserve"> costituiti da:</w:t>
      </w:r>
    </w:p>
    <w:p w:rsidR="00B106E9" w:rsidRDefault="00B106E9" w:rsidP="00493374">
      <w:pPr>
        <w:jc w:val="both"/>
      </w:pPr>
      <w:r>
        <w:t xml:space="preserve">strade, cimitero, mercato, serbatoio idrico, </w:t>
      </w:r>
      <w:r w:rsidR="008B65DC">
        <w:t xml:space="preserve">sentiero dei </w:t>
      </w:r>
      <w:r>
        <w:t>fortini</w:t>
      </w:r>
      <w:r w:rsidR="008B65DC">
        <w:t xml:space="preserve">, </w:t>
      </w:r>
      <w:r w:rsidR="00C31B17">
        <w:t>campanile.</w:t>
      </w:r>
    </w:p>
    <w:p w:rsidR="00B106E9" w:rsidRDefault="00B106E9" w:rsidP="00493374">
      <w:pPr>
        <w:jc w:val="both"/>
      </w:pPr>
    </w:p>
    <w:p w:rsidR="00B106E9" w:rsidRDefault="00B106E9" w:rsidP="00493374">
      <w:pPr>
        <w:jc w:val="both"/>
      </w:pPr>
      <w:r>
        <w:t>Le infrastrutture demaniali sono</w:t>
      </w:r>
      <w:r w:rsidR="00EC4331">
        <w:t xml:space="preserve"> state valutate al costo di costruzione e sono</w:t>
      </w:r>
      <w:r>
        <w:t xml:space="preserve"> costituite principalmente da:</w:t>
      </w:r>
    </w:p>
    <w:p w:rsidR="00B106E9" w:rsidRDefault="00B106E9" w:rsidP="00493374">
      <w:pPr>
        <w:jc w:val="both"/>
      </w:pPr>
      <w:r>
        <w:t>rete idrica</w:t>
      </w:r>
      <w:r w:rsidR="00C31B17">
        <w:t xml:space="preserve"> e fognaria</w:t>
      </w:r>
      <w:r>
        <w:t>, rete pubblica illuminazione</w:t>
      </w:r>
      <w:r w:rsidR="00C63057">
        <w:t>.</w:t>
      </w:r>
    </w:p>
    <w:p w:rsidR="00530A49" w:rsidRDefault="00530A49" w:rsidP="00493374">
      <w:pPr>
        <w:jc w:val="both"/>
      </w:pPr>
    </w:p>
    <w:p w:rsidR="00530A49" w:rsidRDefault="00530A49" w:rsidP="00493374">
      <w:pPr>
        <w:jc w:val="both"/>
      </w:pPr>
      <w:r>
        <w:lastRenderedPageBreak/>
        <w:t xml:space="preserve">Relativamente ai fabbricati, essi sono stati valutati in base alla rendita catastale rivalutata, ad eccezione della sala multimediale e del centro Mario </w:t>
      </w:r>
      <w:proofErr w:type="spellStart"/>
      <w:r>
        <w:t>Cacace</w:t>
      </w:r>
      <w:proofErr w:type="spellEnd"/>
      <w:r>
        <w:t>, per i quali la valutazione è stata fatta al costo di acquisto e di ristrutturazione.</w:t>
      </w:r>
    </w:p>
    <w:p w:rsidR="00530A49" w:rsidRDefault="00530A49" w:rsidP="00493374">
      <w:pPr>
        <w:jc w:val="both"/>
      </w:pPr>
      <w:r>
        <w:t xml:space="preserve">Per i beni immobili non accatastati è stato riportato il </w:t>
      </w:r>
      <w:r w:rsidR="00990A1A">
        <w:t xml:space="preserve">medesimo </w:t>
      </w:r>
      <w:r>
        <w:t xml:space="preserve">valore </w:t>
      </w:r>
      <w:r w:rsidR="00990A1A">
        <w:t>d</w:t>
      </w:r>
      <w:r>
        <w:t>ell’inventario preesistente.</w:t>
      </w:r>
    </w:p>
    <w:p w:rsidR="00677EA7" w:rsidRDefault="00677EA7" w:rsidP="00493374">
      <w:pPr>
        <w:jc w:val="both"/>
      </w:pPr>
      <w:r>
        <w:t>Tra i fabbricati è stata inserita la voce “immobilizzazioni in corso”, riportando il valore di Euro 617</w:t>
      </w:r>
      <w:r w:rsidR="002D1C69">
        <w:t>.698,97</w:t>
      </w:r>
      <w:r>
        <w:t>, che nello stato patrimoniale DPR 194/1996 era allocato nei conti d’ordine.</w:t>
      </w:r>
    </w:p>
    <w:p w:rsidR="00530A49" w:rsidRDefault="00530A49" w:rsidP="00493374">
      <w:pPr>
        <w:jc w:val="both"/>
      </w:pPr>
    </w:p>
    <w:p w:rsidR="00530A49" w:rsidRDefault="007E1C61" w:rsidP="00493374">
      <w:pPr>
        <w:jc w:val="both"/>
      </w:pPr>
      <w:r>
        <w:t xml:space="preserve">Dall’applicazione dei suddetti principi è emersa una </w:t>
      </w:r>
      <w:r w:rsidR="00677EA7">
        <w:t>rivalutazione</w:t>
      </w:r>
      <w:r>
        <w:t xml:space="preserve"> pari ad Euro 1.921</w:t>
      </w:r>
      <w:r w:rsidR="002D1C69">
        <w:t>.312,51</w:t>
      </w:r>
      <w:r>
        <w:t>.</w:t>
      </w:r>
    </w:p>
    <w:p w:rsidR="007E1C61" w:rsidRDefault="007E1C61" w:rsidP="00493374">
      <w:pPr>
        <w:jc w:val="both"/>
      </w:pPr>
    </w:p>
    <w:p w:rsidR="007E1C61" w:rsidRDefault="00677EA7" w:rsidP="00493374">
      <w:pPr>
        <w:jc w:val="both"/>
      </w:pPr>
      <w:r>
        <w:t>Successivamente si è proceduto alla riclassificazione delle altre voci dello stato patrimoniale.</w:t>
      </w:r>
    </w:p>
    <w:p w:rsidR="00677EA7" w:rsidRDefault="00677EA7" w:rsidP="00493374">
      <w:pPr>
        <w:jc w:val="both"/>
      </w:pPr>
    </w:p>
    <w:p w:rsidR="00677EA7" w:rsidRDefault="00677EA7" w:rsidP="00493374">
      <w:pPr>
        <w:jc w:val="both"/>
      </w:pPr>
      <w:r>
        <w:t xml:space="preserve">I crediti sono stati iscritti al netto del fondo svalutazione crediti pari ad Euro </w:t>
      </w:r>
      <w:r w:rsidR="002D1C69">
        <w:t>1.589.946,70.</w:t>
      </w:r>
    </w:p>
    <w:p w:rsidR="00677EA7" w:rsidRDefault="00677EA7" w:rsidP="00493374">
      <w:pPr>
        <w:jc w:val="both"/>
      </w:pPr>
    </w:p>
    <w:p w:rsidR="00677EA7" w:rsidRDefault="002D1C69" w:rsidP="00493374">
      <w:pPr>
        <w:jc w:val="both"/>
      </w:pPr>
      <w:r>
        <w:t>Dalle suddette riclassificazioni emerge</w:t>
      </w:r>
      <w:r w:rsidR="00677EA7">
        <w:t xml:space="preserve"> una rivalutazione netta di Euro 331</w:t>
      </w:r>
      <w:r>
        <w:t>.365,81</w:t>
      </w:r>
      <w:r w:rsidR="00677EA7">
        <w:t>, che è stata riportata nelle riserve di capitale.</w:t>
      </w:r>
    </w:p>
    <w:p w:rsidR="00677EA7" w:rsidRDefault="00677EA7" w:rsidP="00493374">
      <w:pPr>
        <w:jc w:val="both"/>
      </w:pPr>
    </w:p>
    <w:p w:rsidR="00677EA7" w:rsidRDefault="00677EA7" w:rsidP="00493374">
      <w:pPr>
        <w:jc w:val="both"/>
      </w:pPr>
      <w:r>
        <w:t>Tra i debiti verso fornitori è stato inserito il residuo passivo del titolo 2 della spesa, pari ad Euro 617</w:t>
      </w:r>
      <w:r w:rsidR="002D1C69">
        <w:t>.698,97,</w:t>
      </w:r>
      <w:r>
        <w:t xml:space="preserve"> che nello stato patrimoniale DPR 194/1996 era allocato nei conti d’ordine.</w:t>
      </w:r>
    </w:p>
    <w:p w:rsidR="00677EA7" w:rsidRDefault="00677EA7" w:rsidP="00493374">
      <w:pPr>
        <w:jc w:val="both"/>
      </w:pPr>
    </w:p>
    <w:p w:rsidR="00677EA7" w:rsidRDefault="00677EA7" w:rsidP="00493374">
      <w:pPr>
        <w:jc w:val="both"/>
      </w:pPr>
      <w:r>
        <w:t xml:space="preserve">I contributi in conto capitale ricevuti per il finanziamento delle immobilizzazioni </w:t>
      </w:r>
      <w:r w:rsidR="009E6848">
        <w:t xml:space="preserve">(voce BI del conto del patrimonio passivo) </w:t>
      </w:r>
      <w:r>
        <w:t>sono stati inseriti nella voce “Ratei e risconti passivi e contributi agli investimenti”</w:t>
      </w:r>
      <w:r w:rsidR="000309BB">
        <w:t>.</w:t>
      </w:r>
    </w:p>
    <w:p w:rsidR="000309BB" w:rsidRDefault="000309BB" w:rsidP="00493374">
      <w:pPr>
        <w:jc w:val="both"/>
      </w:pPr>
    </w:p>
    <w:p w:rsidR="000309BB" w:rsidRDefault="000309BB" w:rsidP="00493374">
      <w:pPr>
        <w:jc w:val="both"/>
      </w:pPr>
      <w:r>
        <w:t>Nella voce “Riserva da permessi di costruire” è stata collocata la voce BII del conto del patrimonio passivo. Per i permessi di costruire non è previsto il “ricavo pluriennale” o risconto passivo come per i contributi agli investimenti. Questo comporta che ogni anno il risultato dell’esercizio non coinciderà mai con la differenza tra patrimonio finale e patrimonio iniziale. E’ come se si facesse un aumento di capitale sociale ogni anno per la quota di oneri che finanzia la spesa di investimento.</w:t>
      </w:r>
    </w:p>
    <w:p w:rsidR="00414263" w:rsidRDefault="00414263" w:rsidP="00493374">
      <w:pPr>
        <w:jc w:val="both"/>
      </w:pPr>
    </w:p>
    <w:p w:rsidR="007856B4" w:rsidRDefault="00F7530C" w:rsidP="00493374">
      <w:pPr>
        <w:jc w:val="both"/>
      </w:pPr>
      <w:r>
        <w:t>Il primo fondo di dotazione è costituito dalla differenza tra attivo e passivo al netto della voce “netto da beni demaniali”, al netto del valore attribuito alle riserve.</w:t>
      </w:r>
    </w:p>
    <w:p w:rsidR="008A7C0F" w:rsidRDefault="008A7C0F" w:rsidP="00493374">
      <w:pPr>
        <w:jc w:val="both"/>
      </w:pPr>
    </w:p>
    <w:p w:rsidR="008A7C0F" w:rsidRDefault="008A7C0F" w:rsidP="00493374">
      <w:pPr>
        <w:jc w:val="both"/>
      </w:pPr>
      <w:r>
        <w:t>Per la costruzione di detto valore si è operato come segue:</w:t>
      </w:r>
    </w:p>
    <w:p w:rsidR="008A7C0F" w:rsidRDefault="008A7C0F" w:rsidP="00493374">
      <w:pPr>
        <w:jc w:val="both"/>
      </w:pPr>
      <w:r>
        <w:t>beni demaniali e indisponibili</w:t>
      </w:r>
      <w:r>
        <w:tab/>
      </w:r>
      <w:r>
        <w:tab/>
      </w:r>
      <w:r>
        <w:tab/>
      </w:r>
      <w:r>
        <w:tab/>
        <w:t>Euro</w:t>
      </w:r>
      <w:r>
        <w:tab/>
        <w:t xml:space="preserve">  </w:t>
      </w:r>
      <w:r w:rsidR="00414263">
        <w:t>36.139.252,09</w:t>
      </w:r>
    </w:p>
    <w:p w:rsidR="008A7C0F" w:rsidRDefault="008A7C0F" w:rsidP="00493374">
      <w:pPr>
        <w:jc w:val="both"/>
      </w:pPr>
      <w:r>
        <w:t>meno passività collegate (contributi agli investimenti)</w:t>
      </w:r>
      <w:r>
        <w:tab/>
      </w:r>
      <w:r>
        <w:tab/>
        <w:t xml:space="preserve">- </w:t>
      </w:r>
      <w:r w:rsidRPr="008A7C0F">
        <w:rPr>
          <w:u w:val="single"/>
        </w:rPr>
        <w:t>19.357.004,81</w:t>
      </w:r>
    </w:p>
    <w:p w:rsidR="008A7C0F" w:rsidRDefault="008A7C0F" w:rsidP="00493374">
      <w:pPr>
        <w:jc w:val="both"/>
      </w:pPr>
      <w:r>
        <w:t>netto beni demaniali e indisponibili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414263">
        <w:t>16.782.247,28</w:t>
      </w:r>
    </w:p>
    <w:p w:rsidR="008A7C0F" w:rsidRDefault="008A7C0F" w:rsidP="00493374">
      <w:pPr>
        <w:jc w:val="both"/>
      </w:pPr>
    </w:p>
    <w:p w:rsidR="008A7C0F" w:rsidRDefault="008A7C0F" w:rsidP="00493374">
      <w:pPr>
        <w:jc w:val="both"/>
      </w:pPr>
      <w:r>
        <w:t>Valore dell’attivo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52.368.429,45</w:t>
      </w:r>
    </w:p>
    <w:p w:rsidR="008A7C0F" w:rsidRDefault="008A7C0F" w:rsidP="00493374">
      <w:pPr>
        <w:jc w:val="both"/>
      </w:pPr>
      <w:r>
        <w:t>Meno netto beni demaniali e indisponibili</w:t>
      </w:r>
      <w:r>
        <w:tab/>
      </w:r>
      <w:r>
        <w:tab/>
      </w:r>
      <w:r>
        <w:tab/>
      </w:r>
      <w:r>
        <w:tab/>
        <w:t xml:space="preserve">- </w:t>
      </w:r>
      <w:r w:rsidR="00414263">
        <w:t>16.782.247,28</w:t>
      </w:r>
    </w:p>
    <w:p w:rsidR="008A7C0F" w:rsidRDefault="008A7C0F" w:rsidP="00493374">
      <w:pPr>
        <w:jc w:val="both"/>
        <w:rPr>
          <w:u w:val="single"/>
        </w:rPr>
      </w:pPr>
      <w:r>
        <w:t>Meno passivo al netto delle riserve</w:t>
      </w:r>
      <w:r>
        <w:tab/>
      </w:r>
      <w:r>
        <w:tab/>
      </w:r>
      <w:r>
        <w:tab/>
      </w:r>
      <w:r>
        <w:tab/>
      </w:r>
      <w:r>
        <w:tab/>
      </w:r>
      <w:r w:rsidRPr="00414263">
        <w:t>- 29.226.768,96</w:t>
      </w:r>
    </w:p>
    <w:p w:rsidR="00414263" w:rsidRDefault="00414263" w:rsidP="00493374">
      <w:pPr>
        <w:jc w:val="both"/>
      </w:pPr>
      <w:r>
        <w:t>Meno riserva oneri urbanizzazione</w:t>
      </w:r>
      <w:r>
        <w:tab/>
      </w:r>
      <w:r>
        <w:tab/>
      </w:r>
      <w:r>
        <w:tab/>
      </w:r>
      <w:r>
        <w:tab/>
      </w:r>
      <w:r>
        <w:tab/>
        <w:t>-   3.274.037,33</w:t>
      </w:r>
    </w:p>
    <w:p w:rsidR="00414263" w:rsidRPr="00414263" w:rsidRDefault="00414263" w:rsidP="00493374">
      <w:pPr>
        <w:jc w:val="both"/>
      </w:pPr>
      <w:r>
        <w:t xml:space="preserve">Meno riserva </w:t>
      </w:r>
      <w:r w:rsidR="00370032">
        <w:t>di capitale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  </w:t>
      </w:r>
      <w:r w:rsidR="00370032">
        <w:t xml:space="preserve">   </w:t>
      </w:r>
      <w:r w:rsidR="00370032">
        <w:rPr>
          <w:u w:val="single"/>
        </w:rPr>
        <w:t>331.365,81</w:t>
      </w:r>
    </w:p>
    <w:p w:rsidR="008A7C0F" w:rsidRDefault="008A7C0F" w:rsidP="00493374">
      <w:pPr>
        <w:jc w:val="both"/>
      </w:pPr>
      <w:r>
        <w:t xml:space="preserve">Fondo di dotazione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370032">
        <w:t>2.754.010,07</w:t>
      </w:r>
    </w:p>
    <w:p w:rsidR="00A62C51" w:rsidRDefault="00A62C51" w:rsidP="00493374">
      <w:pPr>
        <w:jc w:val="both"/>
      </w:pPr>
    </w:p>
    <w:p w:rsidR="0004527D" w:rsidRDefault="00493374" w:rsidP="00493374">
      <w:pPr>
        <w:jc w:val="both"/>
      </w:pPr>
      <w:r>
        <w:t>La voce Riserva di utili da esercizi precedenti non è stata valorizzata. Conseguentemente gli utili da esercizi precedenti sono confluiti nel fondo di dotazione.</w:t>
      </w:r>
    </w:p>
    <w:p w:rsidR="00493374" w:rsidRDefault="00493374" w:rsidP="00493374">
      <w:pPr>
        <w:jc w:val="both"/>
      </w:pPr>
    </w:p>
    <w:p w:rsidR="0004527D" w:rsidRDefault="00493374" w:rsidP="00493374">
      <w:pPr>
        <w:jc w:val="both"/>
      </w:pPr>
      <w:r>
        <w:t>Nel valore finale della riserva di capitale, pari ad Euro 17.113.613,09 è contenuta la riserva da netto beni demaniali e indisponibili di Euro 16.782.247,28.</w:t>
      </w:r>
    </w:p>
    <w:p w:rsidR="0004527D" w:rsidRDefault="0004527D" w:rsidP="00493374">
      <w:pPr>
        <w:jc w:val="both"/>
      </w:pPr>
    </w:p>
    <w:sectPr w:rsidR="0004527D" w:rsidSect="00E77F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C81232"/>
    <w:rsid w:val="000309BB"/>
    <w:rsid w:val="0004527D"/>
    <w:rsid w:val="00153A7B"/>
    <w:rsid w:val="00171100"/>
    <w:rsid w:val="002D1C69"/>
    <w:rsid w:val="002E141F"/>
    <w:rsid w:val="00355E45"/>
    <w:rsid w:val="00370032"/>
    <w:rsid w:val="00384D0E"/>
    <w:rsid w:val="003D21E4"/>
    <w:rsid w:val="00414263"/>
    <w:rsid w:val="00432D27"/>
    <w:rsid w:val="00434783"/>
    <w:rsid w:val="00493374"/>
    <w:rsid w:val="00507B07"/>
    <w:rsid w:val="00530A49"/>
    <w:rsid w:val="00531830"/>
    <w:rsid w:val="00677EA7"/>
    <w:rsid w:val="007856B4"/>
    <w:rsid w:val="007A7254"/>
    <w:rsid w:val="007E1C61"/>
    <w:rsid w:val="00831C87"/>
    <w:rsid w:val="008A7C0F"/>
    <w:rsid w:val="008B65DC"/>
    <w:rsid w:val="00990A1A"/>
    <w:rsid w:val="009E6848"/>
    <w:rsid w:val="00A1588E"/>
    <w:rsid w:val="00A62C51"/>
    <w:rsid w:val="00A81C4A"/>
    <w:rsid w:val="00AA52A2"/>
    <w:rsid w:val="00AF0F6F"/>
    <w:rsid w:val="00AF4AE3"/>
    <w:rsid w:val="00B106E9"/>
    <w:rsid w:val="00BA1B08"/>
    <w:rsid w:val="00BF7F14"/>
    <w:rsid w:val="00C31B17"/>
    <w:rsid w:val="00C52A81"/>
    <w:rsid w:val="00C63057"/>
    <w:rsid w:val="00C81232"/>
    <w:rsid w:val="00CB57E8"/>
    <w:rsid w:val="00CD318A"/>
    <w:rsid w:val="00D65C15"/>
    <w:rsid w:val="00D67102"/>
    <w:rsid w:val="00DE5BAF"/>
    <w:rsid w:val="00E07A39"/>
    <w:rsid w:val="00E73434"/>
    <w:rsid w:val="00E77FC8"/>
    <w:rsid w:val="00EC4331"/>
    <w:rsid w:val="00F439E9"/>
    <w:rsid w:val="00F625DF"/>
    <w:rsid w:val="00F7530C"/>
    <w:rsid w:val="00F82D93"/>
    <w:rsid w:val="00F85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1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812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426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4263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0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3A0C4-158F-4FCF-8798-ACBCEF261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Sorge</dc:creator>
  <cp:lastModifiedBy>IpomeaA</cp:lastModifiedBy>
  <cp:revision>12</cp:revision>
  <cp:lastPrinted>2017-04-18T06:34:00Z</cp:lastPrinted>
  <dcterms:created xsi:type="dcterms:W3CDTF">2017-04-18T06:23:00Z</dcterms:created>
  <dcterms:modified xsi:type="dcterms:W3CDTF">2017-04-18T10:01:00Z</dcterms:modified>
</cp:coreProperties>
</file>