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123" w:rsidRPr="00211123" w:rsidRDefault="00211123" w:rsidP="00211123">
      <w:pPr>
        <w:widowControl w:val="0"/>
        <w:autoSpaceDE w:val="0"/>
        <w:autoSpaceDN w:val="0"/>
        <w:adjustRightInd w:val="0"/>
        <w:spacing w:after="0" w:line="240" w:lineRule="auto"/>
        <w:rPr>
          <w:rFonts w:ascii="Arial" w:hAnsi="Arial" w:cs="Arial"/>
          <w:sz w:val="24"/>
          <w:szCs w:val="24"/>
        </w:rPr>
      </w:pPr>
    </w:p>
    <w:tbl>
      <w:tblPr>
        <w:tblW w:w="0" w:type="auto"/>
        <w:tblInd w:w="561" w:type="dxa"/>
        <w:tblLayout w:type="fixed"/>
        <w:tblCellMar>
          <w:left w:w="51" w:type="dxa"/>
          <w:right w:w="36" w:type="dxa"/>
        </w:tblCellMar>
        <w:tblLook w:val="0000"/>
      </w:tblPr>
      <w:tblGrid>
        <w:gridCol w:w="287"/>
        <w:gridCol w:w="4235"/>
        <w:gridCol w:w="4475"/>
        <w:gridCol w:w="618"/>
      </w:tblGrid>
      <w:tr w:rsidR="00211123" w:rsidRPr="00211123">
        <w:tc>
          <w:tcPr>
            <w:tcW w:w="8997" w:type="dxa"/>
            <w:gridSpan w:val="3"/>
            <w:tcBorders>
              <w:top w:val="single" w:sz="6" w:space="0" w:color="auto"/>
              <w:left w:val="single" w:sz="6" w:space="0" w:color="auto"/>
              <w:bottom w:val="nil"/>
              <w:right w:val="nil"/>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color w:val="000080"/>
                <w:sz w:val="24"/>
                <w:szCs w:val="24"/>
              </w:rPr>
            </w:pPr>
            <w:r w:rsidRPr="00211123">
              <w:rPr>
                <w:rFonts w:ascii="Arial" w:hAnsi="Arial" w:cs="Arial"/>
                <w:noProof/>
                <w:color w:val="000080"/>
                <w:sz w:val="24"/>
                <w:szCs w:val="24"/>
                <w:lang w:eastAsia="it-IT"/>
              </w:rPr>
              <w:drawing>
                <wp:inline distT="0" distB="0" distL="0" distR="0">
                  <wp:extent cx="2174875" cy="21748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174875" cy="2174875"/>
                          </a:xfrm>
                          <a:prstGeom prst="rect">
                            <a:avLst/>
                          </a:prstGeom>
                          <a:noFill/>
                          <a:ln>
                            <a:noFill/>
                          </a:ln>
                        </pic:spPr>
                      </pic:pic>
                    </a:graphicData>
                  </a:graphic>
                </wp:inline>
              </w:drawing>
            </w:r>
            <w:r w:rsidRPr="00211123">
              <w:rPr>
                <w:rFonts w:ascii="Arial" w:hAnsi="Arial" w:cs="Arial"/>
                <w:color w:val="000080"/>
                <w:sz w:val="24"/>
                <w:szCs w:val="24"/>
              </w:rPr>
              <w:t xml:space="preserve"> </w:t>
            </w:r>
          </w:p>
        </w:tc>
        <w:tc>
          <w:tcPr>
            <w:tcW w:w="618" w:type="dxa"/>
            <w:tcBorders>
              <w:top w:val="single" w:sz="6" w:space="0" w:color="auto"/>
              <w:left w:val="nil"/>
              <w:bottom w:val="nil"/>
              <w:right w:val="single" w:sz="6" w:space="0" w:color="auto"/>
            </w:tcBorders>
            <w:tcMar>
              <w:left w:w="36" w:type="dxa"/>
              <w:right w:w="51" w:type="dxa"/>
            </w:tcMar>
            <w:vAlign w:val="bottom"/>
          </w:tcPr>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283"/>
              <w:rPr>
                <w:rFonts w:ascii="Arial" w:hAnsi="Arial" w:cs="Arial"/>
                <w:b/>
                <w:bCs/>
                <w:i/>
                <w:iCs/>
                <w:color w:val="000080"/>
                <w:sz w:val="72"/>
                <w:szCs w:val="72"/>
              </w:rPr>
            </w:pPr>
          </w:p>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283"/>
              <w:rPr>
                <w:rFonts w:ascii="Arial" w:hAnsi="Arial" w:cs="Arial"/>
                <w:b/>
                <w:bCs/>
                <w:i/>
                <w:iCs/>
                <w:color w:val="000080"/>
                <w:sz w:val="72"/>
                <w:szCs w:val="72"/>
              </w:rPr>
            </w:pPr>
          </w:p>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283"/>
              <w:rPr>
                <w:rFonts w:ascii="Arial" w:hAnsi="Arial" w:cs="Arial"/>
                <w:b/>
                <w:bCs/>
                <w:i/>
                <w:iCs/>
                <w:color w:val="000080"/>
                <w:sz w:val="72"/>
                <w:szCs w:val="72"/>
              </w:rPr>
            </w:pPr>
          </w:p>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283"/>
              <w:rPr>
                <w:rFonts w:ascii="Arial" w:hAnsi="Arial" w:cs="Arial"/>
                <w:b/>
                <w:bCs/>
                <w:i/>
                <w:iCs/>
                <w:color w:val="000080"/>
                <w:sz w:val="72"/>
                <w:szCs w:val="72"/>
              </w:rPr>
            </w:pPr>
          </w:p>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283"/>
              <w:rPr>
                <w:rFonts w:ascii="Arial" w:hAnsi="Arial" w:cs="Arial"/>
                <w:b/>
                <w:bCs/>
                <w:i/>
                <w:iCs/>
                <w:color w:val="000080"/>
                <w:sz w:val="72"/>
                <w:szCs w:val="72"/>
              </w:rPr>
            </w:pPr>
          </w:p>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283"/>
              <w:rPr>
                <w:rFonts w:ascii="Arial" w:hAnsi="Arial" w:cs="Arial"/>
                <w:color w:val="000080"/>
                <w:sz w:val="24"/>
                <w:szCs w:val="24"/>
              </w:rPr>
            </w:pPr>
          </w:p>
        </w:tc>
      </w:tr>
      <w:tr w:rsidR="00211123" w:rsidRPr="00211123">
        <w:tblPrEx>
          <w:tblCellMar>
            <w:right w:w="57" w:type="dxa"/>
          </w:tblCellMar>
        </w:tblPrEx>
        <w:tc>
          <w:tcPr>
            <w:tcW w:w="4522" w:type="dxa"/>
            <w:gridSpan w:val="2"/>
            <w:tcBorders>
              <w:top w:val="nil"/>
              <w:left w:val="single" w:sz="6" w:space="0" w:color="auto"/>
              <w:bottom w:val="nil"/>
              <w:right w:val="nil"/>
            </w:tcBorders>
            <w:shd w:val="clear" w:color="auto" w:fill="FFFFFF"/>
          </w:tcPr>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i/>
                <w:iCs/>
                <w:color w:val="505050"/>
                <w:sz w:val="24"/>
                <w:szCs w:val="24"/>
              </w:rPr>
            </w:pPr>
          </w:p>
        </w:tc>
        <w:tc>
          <w:tcPr>
            <w:tcW w:w="5093" w:type="dxa"/>
            <w:gridSpan w:val="2"/>
            <w:tcBorders>
              <w:top w:val="nil"/>
              <w:left w:val="nil"/>
              <w:bottom w:val="nil"/>
              <w:right w:val="single" w:sz="6" w:space="0" w:color="auto"/>
            </w:tcBorders>
            <w:shd w:val="clear" w:color="auto" w:fill="FFFFFF"/>
            <w:tcMar>
              <w:left w:w="68" w:type="dxa"/>
              <w:right w:w="51" w:type="dxa"/>
            </w:tcMar>
          </w:tcPr>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283"/>
              <w:jc w:val="right"/>
              <w:rPr>
                <w:rFonts w:ascii="Arial" w:hAnsi="Arial" w:cs="Arial"/>
                <w:b/>
                <w:bCs/>
                <w:color w:val="000080"/>
                <w:sz w:val="24"/>
                <w:szCs w:val="24"/>
              </w:rPr>
            </w:pPr>
            <w:r w:rsidRPr="00211123">
              <w:rPr>
                <w:rFonts w:ascii="Arial" w:hAnsi="Arial" w:cs="Arial"/>
                <w:b/>
                <w:bCs/>
                <w:i/>
                <w:iCs/>
                <w:color w:val="000080"/>
                <w:sz w:val="144"/>
                <w:szCs w:val="144"/>
              </w:rPr>
              <w:t>2016</w:t>
            </w:r>
          </w:p>
        </w:tc>
      </w:tr>
      <w:tr w:rsidR="00211123" w:rsidRPr="00211123">
        <w:tblPrEx>
          <w:tblCellMar>
            <w:right w:w="57" w:type="dxa"/>
          </w:tblCellMar>
        </w:tblPrEx>
        <w:tc>
          <w:tcPr>
            <w:tcW w:w="4522" w:type="dxa"/>
            <w:gridSpan w:val="2"/>
            <w:tcBorders>
              <w:top w:val="nil"/>
              <w:left w:val="single" w:sz="6" w:space="0" w:color="auto"/>
              <w:bottom w:val="nil"/>
              <w:right w:val="nil"/>
            </w:tcBorders>
            <w:shd w:val="clear" w:color="auto" w:fill="F2F2F2"/>
          </w:tcPr>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i/>
                <w:iCs/>
                <w:color w:val="505050"/>
                <w:sz w:val="24"/>
                <w:szCs w:val="24"/>
              </w:rPr>
            </w:pPr>
          </w:p>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i/>
                <w:iCs/>
                <w:color w:val="505050"/>
                <w:sz w:val="24"/>
                <w:szCs w:val="24"/>
              </w:rPr>
            </w:pPr>
          </w:p>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i/>
                <w:iCs/>
                <w:color w:val="505050"/>
                <w:sz w:val="24"/>
                <w:szCs w:val="24"/>
              </w:rPr>
            </w:pPr>
          </w:p>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i/>
                <w:iCs/>
                <w:color w:val="505050"/>
                <w:sz w:val="24"/>
                <w:szCs w:val="24"/>
              </w:rPr>
            </w:pPr>
          </w:p>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i/>
                <w:iCs/>
                <w:color w:val="505050"/>
                <w:sz w:val="24"/>
                <w:szCs w:val="24"/>
              </w:rPr>
            </w:pPr>
          </w:p>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i/>
                <w:iCs/>
                <w:color w:val="505050"/>
                <w:sz w:val="24"/>
                <w:szCs w:val="24"/>
              </w:rPr>
            </w:pPr>
          </w:p>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i/>
                <w:iCs/>
                <w:color w:val="505050"/>
                <w:sz w:val="24"/>
                <w:szCs w:val="24"/>
              </w:rPr>
            </w:pPr>
          </w:p>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i/>
                <w:iCs/>
                <w:color w:val="505050"/>
                <w:sz w:val="24"/>
                <w:szCs w:val="24"/>
              </w:rPr>
            </w:pPr>
          </w:p>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color w:val="505050"/>
              </w:rPr>
            </w:pPr>
          </w:p>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i/>
                <w:iCs/>
                <w:color w:val="505050"/>
                <w:sz w:val="24"/>
                <w:szCs w:val="24"/>
              </w:rPr>
            </w:pPr>
          </w:p>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i/>
                <w:iCs/>
                <w:color w:val="505050"/>
                <w:sz w:val="24"/>
                <w:szCs w:val="24"/>
              </w:rPr>
            </w:pPr>
          </w:p>
        </w:tc>
        <w:tc>
          <w:tcPr>
            <w:tcW w:w="5093" w:type="dxa"/>
            <w:gridSpan w:val="2"/>
            <w:tcBorders>
              <w:top w:val="nil"/>
              <w:left w:val="nil"/>
              <w:bottom w:val="nil"/>
              <w:right w:val="single" w:sz="6" w:space="0" w:color="auto"/>
            </w:tcBorders>
            <w:shd w:val="clear" w:color="auto" w:fill="F2F2F2"/>
            <w:tcMar>
              <w:left w:w="68" w:type="dxa"/>
              <w:right w:w="51" w:type="dxa"/>
            </w:tcMar>
          </w:tcPr>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i/>
                <w:iCs/>
                <w:color w:val="000080"/>
                <w:sz w:val="96"/>
                <w:szCs w:val="96"/>
              </w:rPr>
            </w:pPr>
            <w:r w:rsidRPr="00211123">
              <w:rPr>
                <w:rFonts w:ascii="Arial" w:hAnsi="Arial" w:cs="Arial"/>
                <w:b/>
                <w:bCs/>
                <w:i/>
                <w:iCs/>
                <w:color w:val="000080"/>
                <w:sz w:val="96"/>
                <w:szCs w:val="96"/>
              </w:rPr>
              <w:t>Nota</w:t>
            </w:r>
          </w:p>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i/>
                <w:iCs/>
                <w:color w:val="000080"/>
                <w:sz w:val="56"/>
                <w:szCs w:val="56"/>
              </w:rPr>
            </w:pPr>
            <w:r w:rsidRPr="00211123">
              <w:rPr>
                <w:rFonts w:ascii="Arial" w:hAnsi="Arial" w:cs="Arial"/>
                <w:b/>
                <w:bCs/>
                <w:i/>
                <w:iCs/>
                <w:color w:val="000080"/>
                <w:sz w:val="56"/>
                <w:szCs w:val="56"/>
              </w:rPr>
              <w:t xml:space="preserve">Integrativa al </w:t>
            </w:r>
          </w:p>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i/>
                <w:iCs/>
                <w:color w:val="000080"/>
                <w:sz w:val="56"/>
                <w:szCs w:val="56"/>
              </w:rPr>
            </w:pPr>
            <w:r w:rsidRPr="00211123">
              <w:rPr>
                <w:rFonts w:ascii="Arial" w:hAnsi="Arial" w:cs="Arial"/>
                <w:b/>
                <w:bCs/>
                <w:i/>
                <w:iCs/>
                <w:color w:val="000080"/>
                <w:sz w:val="56"/>
                <w:szCs w:val="56"/>
              </w:rPr>
              <w:t>bilancio</w:t>
            </w:r>
          </w:p>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i/>
                <w:iCs/>
                <w:color w:val="000080"/>
                <w:sz w:val="56"/>
                <w:szCs w:val="56"/>
              </w:rPr>
            </w:pPr>
            <w:r w:rsidRPr="00211123">
              <w:rPr>
                <w:rFonts w:ascii="Arial" w:hAnsi="Arial" w:cs="Arial"/>
                <w:b/>
                <w:bCs/>
                <w:i/>
                <w:iCs/>
                <w:color w:val="000080"/>
                <w:sz w:val="56"/>
                <w:szCs w:val="56"/>
              </w:rPr>
              <w:t>consolidato</w:t>
            </w:r>
          </w:p>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color w:val="000080"/>
                <w:sz w:val="56"/>
                <w:szCs w:val="56"/>
              </w:rPr>
            </w:pPr>
          </w:p>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color w:val="000080"/>
                <w:sz w:val="56"/>
                <w:szCs w:val="56"/>
              </w:rPr>
            </w:pPr>
          </w:p>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color w:val="000080"/>
                <w:sz w:val="56"/>
                <w:szCs w:val="56"/>
              </w:rPr>
            </w:pPr>
          </w:p>
        </w:tc>
      </w:tr>
      <w:tr w:rsidR="00211123" w:rsidRPr="00211123">
        <w:tc>
          <w:tcPr>
            <w:tcW w:w="287" w:type="dxa"/>
            <w:tcBorders>
              <w:top w:val="nil"/>
              <w:left w:val="single" w:sz="6" w:space="0" w:color="auto"/>
              <w:bottom w:val="single" w:sz="6" w:space="0" w:color="auto"/>
              <w:right w:val="nil"/>
            </w:tcBorders>
            <w:shd w:val="clear" w:color="auto" w:fill="F2F2F2"/>
          </w:tcPr>
          <w:p w:rsidR="00211123" w:rsidRPr="00211123" w:rsidRDefault="00211123" w:rsidP="002111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color w:val="000080"/>
                <w:sz w:val="24"/>
                <w:szCs w:val="24"/>
              </w:rPr>
            </w:pPr>
          </w:p>
        </w:tc>
        <w:tc>
          <w:tcPr>
            <w:tcW w:w="9328" w:type="dxa"/>
            <w:gridSpan w:val="3"/>
            <w:tcBorders>
              <w:top w:val="nil"/>
              <w:left w:val="nil"/>
              <w:bottom w:val="single" w:sz="6" w:space="0" w:color="auto"/>
              <w:right w:val="single" w:sz="6" w:space="0" w:color="auto"/>
            </w:tcBorders>
            <w:shd w:val="clear" w:color="auto" w:fill="F2F2F2"/>
            <w:tcMar>
              <w:left w:w="36" w:type="dxa"/>
              <w:right w:w="51" w:type="dxa"/>
            </w:tcMar>
            <w:vAlign w:val="bottom"/>
          </w:tcPr>
          <w:p w:rsidR="00211123" w:rsidRPr="00211123" w:rsidRDefault="00211123" w:rsidP="00211123">
            <w:pPr>
              <w:widowControl w:val="0"/>
              <w:tabs>
                <w:tab w:val="left" w:pos="2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226" w:right="283"/>
              <w:jc w:val="right"/>
              <w:rPr>
                <w:rFonts w:ascii="Arial" w:hAnsi="Arial" w:cs="Arial"/>
                <w:color w:val="000080"/>
                <w:sz w:val="36"/>
                <w:szCs w:val="36"/>
              </w:rPr>
            </w:pPr>
          </w:p>
          <w:p w:rsidR="00211123" w:rsidRPr="00211123" w:rsidRDefault="00211123" w:rsidP="00211123">
            <w:pPr>
              <w:widowControl w:val="0"/>
              <w:tabs>
                <w:tab w:val="left" w:pos="2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226" w:right="283"/>
              <w:jc w:val="right"/>
              <w:rPr>
                <w:rFonts w:ascii="Arial" w:hAnsi="Arial" w:cs="Arial"/>
                <w:color w:val="000080"/>
                <w:sz w:val="36"/>
                <w:szCs w:val="36"/>
              </w:rPr>
            </w:pPr>
          </w:p>
          <w:p w:rsidR="00211123" w:rsidRPr="00211123" w:rsidRDefault="00211123" w:rsidP="00211123">
            <w:pPr>
              <w:widowControl w:val="0"/>
              <w:tabs>
                <w:tab w:val="left" w:pos="2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226" w:right="283"/>
              <w:jc w:val="right"/>
              <w:rPr>
                <w:rFonts w:ascii="Arial" w:hAnsi="Arial" w:cs="Arial"/>
                <w:color w:val="000080"/>
                <w:sz w:val="36"/>
                <w:szCs w:val="36"/>
              </w:rPr>
            </w:pPr>
            <w:r w:rsidRPr="00211123">
              <w:rPr>
                <w:rFonts w:ascii="Arial" w:hAnsi="Arial" w:cs="Arial"/>
                <w:color w:val="000080"/>
                <w:sz w:val="36"/>
                <w:szCs w:val="36"/>
              </w:rPr>
              <w:t>Comune di Anacapri (NA)</w:t>
            </w:r>
          </w:p>
          <w:p w:rsidR="00211123" w:rsidRPr="00211123" w:rsidRDefault="00211123" w:rsidP="00211123">
            <w:pPr>
              <w:widowControl w:val="0"/>
              <w:tabs>
                <w:tab w:val="left" w:pos="2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226" w:right="283"/>
              <w:jc w:val="right"/>
              <w:rPr>
                <w:rFonts w:ascii="Arial" w:hAnsi="Arial" w:cs="Arial"/>
                <w:color w:val="000080"/>
                <w:sz w:val="36"/>
                <w:szCs w:val="36"/>
              </w:rPr>
            </w:pPr>
          </w:p>
          <w:p w:rsidR="00211123" w:rsidRPr="00211123" w:rsidRDefault="00211123" w:rsidP="00211123">
            <w:pPr>
              <w:widowControl w:val="0"/>
              <w:tabs>
                <w:tab w:val="left" w:pos="2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226" w:right="283"/>
              <w:jc w:val="right"/>
              <w:rPr>
                <w:rFonts w:ascii="Arial" w:hAnsi="Arial" w:cs="Arial"/>
                <w:color w:val="000080"/>
                <w:sz w:val="36"/>
                <w:szCs w:val="36"/>
              </w:rPr>
            </w:pPr>
          </w:p>
          <w:p w:rsidR="00211123" w:rsidRPr="00211123" w:rsidRDefault="00211123" w:rsidP="00211123">
            <w:pPr>
              <w:widowControl w:val="0"/>
              <w:tabs>
                <w:tab w:val="left" w:pos="2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226" w:right="283"/>
              <w:jc w:val="right"/>
              <w:rPr>
                <w:rFonts w:ascii="Arial" w:hAnsi="Arial" w:cs="Arial"/>
                <w:color w:val="000080"/>
                <w:sz w:val="24"/>
                <w:szCs w:val="24"/>
              </w:rPr>
            </w:pPr>
          </w:p>
        </w:tc>
      </w:tr>
    </w:tbl>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24"/>
          <w:szCs w:val="24"/>
        </w:rPr>
        <w:br w:type="page"/>
      </w:r>
    </w:p>
    <w:p w:rsidR="00211123" w:rsidRPr="00211123" w:rsidRDefault="00211123" w:rsidP="00211123">
      <w:pPr>
        <w:widowControl w:val="0"/>
        <w:autoSpaceDE w:val="0"/>
        <w:autoSpaceDN w:val="0"/>
        <w:adjustRightInd w:val="0"/>
        <w:spacing w:after="0" w:line="240" w:lineRule="auto"/>
        <w:rPr>
          <w:rFonts w:ascii="Arial" w:hAnsi="Arial" w:cs="Arial"/>
          <w:sz w:val="16"/>
          <w:szCs w:val="16"/>
        </w:rPr>
      </w:pPr>
    </w:p>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r w:rsidRPr="00211123">
        <w:rPr>
          <w:rFonts w:ascii="Arial" w:hAnsi="Arial" w:cs="Arial"/>
          <w:b/>
          <w:bCs/>
          <w:sz w:val="24"/>
          <w:szCs w:val="24"/>
        </w:rPr>
        <w:t>Premessa</w:t>
      </w:r>
    </w:p>
    <w:p w:rsidR="00211123" w:rsidRPr="00211123" w:rsidRDefault="00211123" w:rsidP="00211123">
      <w:pPr>
        <w:widowControl w:val="0"/>
        <w:autoSpaceDE w:val="0"/>
        <w:autoSpaceDN w:val="0"/>
        <w:adjustRightInd w:val="0"/>
        <w:spacing w:after="0" w:line="240" w:lineRule="auto"/>
        <w:rPr>
          <w:rFonts w:ascii="Arial" w:hAnsi="Arial" w:cs="Arial"/>
          <w:b/>
          <w:bCs/>
          <w:sz w:val="24"/>
          <w:szCs w:val="24"/>
        </w:rPr>
      </w:pPr>
    </w:p>
    <w:p w:rsidR="00211123" w:rsidRPr="00211123" w:rsidRDefault="00211123" w:rsidP="00211123">
      <w:pPr>
        <w:widowControl w:val="0"/>
        <w:autoSpaceDE w:val="0"/>
        <w:autoSpaceDN w:val="0"/>
        <w:adjustRightInd w:val="0"/>
        <w:spacing w:after="0" w:line="240" w:lineRule="auto"/>
        <w:rPr>
          <w:rFonts w:ascii="Arial" w:hAnsi="Arial" w:cs="Arial"/>
          <w:sz w:val="20"/>
          <w:szCs w:val="20"/>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Tra gli aspetti più innovativi introdotti dal legislatore con la recente riforma contabile vi è certamente il principio contenuto nell’allegato 4/4 del D. </w:t>
      </w:r>
      <w:proofErr w:type="spellStart"/>
      <w:r w:rsidRPr="00211123">
        <w:rPr>
          <w:rFonts w:ascii="Arial" w:hAnsi="Arial" w:cs="Arial"/>
          <w:sz w:val="24"/>
          <w:szCs w:val="24"/>
        </w:rPr>
        <w:t>Lgs</w:t>
      </w:r>
      <w:proofErr w:type="spellEnd"/>
      <w:r w:rsidRPr="00211123">
        <w:rPr>
          <w:rFonts w:ascii="Arial" w:hAnsi="Arial" w:cs="Arial"/>
          <w:sz w:val="24"/>
          <w:szCs w:val="24"/>
        </w:rPr>
        <w:t>. 118/2011 e successive modificazioni ed integrazioni, riguardante il bilancio consolidato del gruppo “amministrazione pubblica”.</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Il tema, noto e dibattuto a livello dottrinario ma che non aveva in precedenza trovato una sua definizione legislativa, oggi è salito alla ribalta, visto il ruolo che le società pubbliche in house o di partecipazione hanno nel tessuto socio economico del territorio amministrato, con effetti diretti sulla popolazione (attraverso i loro servizi) e sul bilancio dell’ente.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Seppur con notevoli peculiarità, risulta evidente come l’impianto tecnico-normativo alla base del bilancio consolidato del gruppo pubblico locale ricalca, per larghi tratti, la prassi privatistica, così come determinate tematiche, anche alla luce delle prime esperienze applicative, sono state e continueranno ad essere oggetto di appositi approfondimenti nel corso dei prossimi anni.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Si ricorda, infatti, che ai sensi del comma 4 dell’articolo 11 bis del D. </w:t>
      </w:r>
      <w:proofErr w:type="spellStart"/>
      <w:r w:rsidRPr="00211123">
        <w:rPr>
          <w:rFonts w:ascii="Arial" w:hAnsi="Arial" w:cs="Arial"/>
          <w:sz w:val="24"/>
          <w:szCs w:val="24"/>
        </w:rPr>
        <w:t>Lgs</w:t>
      </w:r>
      <w:proofErr w:type="spellEnd"/>
      <w:r w:rsidRPr="00211123">
        <w:rPr>
          <w:rFonts w:ascii="Arial" w:hAnsi="Arial" w:cs="Arial"/>
          <w:sz w:val="24"/>
          <w:szCs w:val="24"/>
        </w:rPr>
        <w:t xml:space="preserve"> 118/2011 e ss. mm., l’applicazione del principio è vigente per l’anno 2015 solo per gli enti in armonizzazione, mentre per i rimanenti è entrato in vigore solo nel 2016 o, per gli enti minori, addirittura dal prossimo anno.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A riguardo se evidenzia che il corrente bilancio consolidato rappresenta una novità per il nostro ente, trattandosi della</w:t>
      </w:r>
      <w:r w:rsidR="00E724C8">
        <w:rPr>
          <w:rFonts w:ascii="Arial" w:hAnsi="Arial" w:cs="Arial"/>
          <w:sz w:val="24"/>
          <w:szCs w:val="24"/>
        </w:rPr>
        <w:t xml:space="preserve"> prima</w:t>
      </w:r>
      <w:r w:rsidRPr="00211123">
        <w:rPr>
          <w:rFonts w:ascii="Arial" w:hAnsi="Arial" w:cs="Arial"/>
          <w:sz w:val="24"/>
          <w:szCs w:val="24"/>
        </w:rPr>
        <w:t xml:space="preserve"> applicazione dell’istituto alla nostra realtà secondo il dettato del D.Lgs118/2011 e dei principi contabili applicati correlati.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Il bilancio consolidato trova fondamento legislativo nell’articolo 11 – bis del Decreto Legislativo 23 giugno 2011, n.118, che recita:</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08"/>
        <w:jc w:val="both"/>
        <w:rPr>
          <w:rFonts w:ascii="Arial" w:hAnsi="Arial" w:cs="Arial"/>
          <w:i/>
          <w:iCs/>
          <w:sz w:val="24"/>
          <w:szCs w:val="24"/>
        </w:rPr>
      </w:pPr>
      <w:r w:rsidRPr="00211123">
        <w:rPr>
          <w:rFonts w:ascii="Arial" w:hAnsi="Arial" w:cs="Arial"/>
          <w:sz w:val="24"/>
          <w:szCs w:val="24"/>
        </w:rPr>
        <w:t>&lt;&lt;</w:t>
      </w:r>
      <w:r w:rsidRPr="00211123">
        <w:rPr>
          <w:rFonts w:ascii="Arial" w:hAnsi="Arial" w:cs="Arial"/>
          <w:i/>
          <w:iCs/>
          <w:sz w:val="24"/>
          <w:szCs w:val="24"/>
        </w:rPr>
        <w:t>1. Gli enti di cui all'art. 1, comma 1, redigono il bilancio consolidato con i propri enti ed organismi strumentali, aziende, società controllate e partecipate, secondo le modalità ed i criteri individuati nel principio applicato del bilancio consolidato di cui all'allegato n. 4/4.</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08"/>
        <w:jc w:val="both"/>
        <w:rPr>
          <w:rFonts w:ascii="Arial" w:hAnsi="Arial" w:cs="Arial"/>
          <w:i/>
          <w:iCs/>
          <w:sz w:val="24"/>
          <w:szCs w:val="24"/>
        </w:rPr>
      </w:pPr>
      <w:r w:rsidRPr="00211123">
        <w:rPr>
          <w:rFonts w:ascii="Arial" w:hAnsi="Arial" w:cs="Arial"/>
          <w:i/>
          <w:iCs/>
          <w:sz w:val="24"/>
          <w:szCs w:val="24"/>
        </w:rPr>
        <w:t>2. Il bilancio consolidato è costituito dal conto economico consolidato, dallo stato patrimoniale consolidato e dai seguenti allegati: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08"/>
        <w:jc w:val="both"/>
        <w:rPr>
          <w:rFonts w:ascii="Arial" w:hAnsi="Arial" w:cs="Arial"/>
          <w:i/>
          <w:iCs/>
          <w:sz w:val="24"/>
          <w:szCs w:val="24"/>
        </w:rPr>
      </w:pPr>
      <w:r w:rsidRPr="00211123">
        <w:rPr>
          <w:rFonts w:ascii="Arial" w:hAnsi="Arial" w:cs="Arial"/>
          <w:i/>
          <w:iCs/>
          <w:sz w:val="24"/>
          <w:szCs w:val="24"/>
        </w:rPr>
        <w:t xml:space="preserve">a) la relazione sulla gestione consolidata che comprende la nota integrativa; </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08"/>
        <w:jc w:val="both"/>
        <w:rPr>
          <w:rFonts w:ascii="Arial" w:hAnsi="Arial" w:cs="Arial"/>
          <w:i/>
          <w:iCs/>
          <w:sz w:val="24"/>
          <w:szCs w:val="24"/>
        </w:rPr>
      </w:pPr>
      <w:r w:rsidRPr="00211123">
        <w:rPr>
          <w:rFonts w:ascii="Arial" w:hAnsi="Arial" w:cs="Arial"/>
          <w:i/>
          <w:iCs/>
          <w:sz w:val="24"/>
          <w:szCs w:val="24"/>
        </w:rPr>
        <w:t>b) la relazione del collegio dei revisori dei conti.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08"/>
        <w:jc w:val="both"/>
        <w:rPr>
          <w:rFonts w:ascii="Arial" w:hAnsi="Arial" w:cs="Arial"/>
          <w:i/>
          <w:iCs/>
          <w:sz w:val="24"/>
          <w:szCs w:val="24"/>
        </w:rPr>
      </w:pPr>
      <w:r w:rsidRPr="00211123">
        <w:rPr>
          <w:rFonts w:ascii="Arial" w:hAnsi="Arial" w:cs="Arial"/>
          <w:i/>
          <w:iCs/>
          <w:sz w:val="24"/>
          <w:szCs w:val="24"/>
        </w:rPr>
        <w:lastRenderedPageBreak/>
        <w:t>3. Ai fini dell'inclusione nel bilancio consolidato, si considera qualsiasi ente strumentale, azienda, società controllata e partecipata, indipendentemente dalla sua forma giuridica pubblica o privata, anche se le attività che svolge sono dissimili da quelle degli altri componenti del gruppo, con l'esclusione degli enti cui si applica il titolo II.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08"/>
        <w:jc w:val="both"/>
        <w:rPr>
          <w:rFonts w:ascii="Arial" w:hAnsi="Arial" w:cs="Arial"/>
          <w:sz w:val="24"/>
          <w:szCs w:val="24"/>
        </w:rPr>
      </w:pPr>
      <w:r w:rsidRPr="00211123">
        <w:rPr>
          <w:rFonts w:ascii="Arial" w:hAnsi="Arial" w:cs="Arial"/>
          <w:i/>
          <w:iCs/>
          <w:sz w:val="24"/>
          <w:szCs w:val="24"/>
        </w:rPr>
        <w:t>4. Gli enti di cui al comma 1 possono rinviare l'adozione del bilancio consolidato con riferimento all'esercizio 2016, salvo gli enti che, nel 2014, hanno partecipato alla sperimentazione.</w:t>
      </w:r>
      <w:r w:rsidRPr="00211123">
        <w:rPr>
          <w:rFonts w:ascii="Arial" w:hAnsi="Arial" w:cs="Arial"/>
          <w:sz w:val="24"/>
          <w:szCs w:val="24"/>
        </w:rPr>
        <w:t>&gt;&gt;</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Quanto, poi, alla nota integrativa, il Principio contabile applicato concernente il bilancio consolidato, Allegato n. 4/4 al </w:t>
      </w:r>
      <w:proofErr w:type="spellStart"/>
      <w:r w:rsidRPr="00211123">
        <w:rPr>
          <w:rFonts w:ascii="Arial" w:hAnsi="Arial" w:cs="Arial"/>
          <w:sz w:val="24"/>
          <w:szCs w:val="24"/>
        </w:rPr>
        <w:t>D.Lgs</w:t>
      </w:r>
      <w:proofErr w:type="spellEnd"/>
      <w:r w:rsidRPr="00211123">
        <w:rPr>
          <w:rFonts w:ascii="Arial" w:hAnsi="Arial" w:cs="Arial"/>
          <w:sz w:val="24"/>
          <w:szCs w:val="24"/>
        </w:rPr>
        <w:t xml:space="preserve"> 118/2011, prevede che la medesima indichi:</w:t>
      </w:r>
    </w:p>
    <w:p w:rsidR="00211123" w:rsidRPr="00211123" w:rsidRDefault="00211123" w:rsidP="00211123">
      <w:pPr>
        <w:numPr>
          <w:ilvl w:val="0"/>
          <w:numId w:val="1"/>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i/>
          <w:iCs/>
          <w:sz w:val="24"/>
          <w:szCs w:val="24"/>
        </w:rPr>
      </w:pPr>
      <w:r w:rsidRPr="00211123">
        <w:rPr>
          <w:rFonts w:ascii="Arial" w:hAnsi="Arial" w:cs="Arial"/>
          <w:i/>
          <w:iCs/>
          <w:sz w:val="24"/>
          <w:szCs w:val="24"/>
        </w:rPr>
        <w:t>i criteri di valutazione applicati;</w:t>
      </w:r>
    </w:p>
    <w:p w:rsidR="00211123" w:rsidRPr="00211123" w:rsidRDefault="00211123" w:rsidP="00211123">
      <w:pPr>
        <w:numPr>
          <w:ilvl w:val="0"/>
          <w:numId w:val="1"/>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i/>
          <w:iCs/>
          <w:sz w:val="24"/>
          <w:szCs w:val="24"/>
        </w:rPr>
      </w:pPr>
      <w:r w:rsidRPr="00211123">
        <w:rPr>
          <w:rFonts w:ascii="Arial" w:hAnsi="Arial" w:cs="Arial"/>
          <w:i/>
          <w:iCs/>
          <w:sz w:val="24"/>
          <w:szCs w:val="24"/>
        </w:rPr>
        <w:t>le ragioni delle più significative variazioni intervenute nella consistenza delle voci dell’attivo e del passivo rispetto all’esercizio precedente (escluso il primo anno di elaborazione del bilancio consolidato);</w:t>
      </w:r>
    </w:p>
    <w:p w:rsidR="00211123" w:rsidRPr="00211123" w:rsidRDefault="00211123" w:rsidP="00211123">
      <w:pPr>
        <w:numPr>
          <w:ilvl w:val="0"/>
          <w:numId w:val="1"/>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i/>
          <w:iCs/>
          <w:sz w:val="24"/>
          <w:szCs w:val="24"/>
        </w:rPr>
      </w:pPr>
      <w:r w:rsidRPr="00211123">
        <w:rPr>
          <w:rFonts w:ascii="Arial" w:hAnsi="Arial" w:cs="Arial"/>
          <w:i/>
          <w:iCs/>
          <w:sz w:val="24"/>
          <w:szCs w:val="24"/>
        </w:rPr>
        <w:t>distintamente per ciascuna voce, l’ammontare dei crediti e dei debiti di durata residua superiore a cinque anni, e dei debiti assistiti da garanzie reali su beni di imprese incluse nel consolidamento, con specifica indicazione della natura delle garanzie;</w:t>
      </w:r>
    </w:p>
    <w:p w:rsidR="00211123" w:rsidRPr="00211123" w:rsidRDefault="00211123" w:rsidP="00211123">
      <w:pPr>
        <w:numPr>
          <w:ilvl w:val="0"/>
          <w:numId w:val="1"/>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i/>
          <w:iCs/>
          <w:sz w:val="24"/>
          <w:szCs w:val="24"/>
        </w:rPr>
      </w:pPr>
      <w:r w:rsidRPr="00211123">
        <w:rPr>
          <w:rFonts w:ascii="Arial" w:hAnsi="Arial" w:cs="Arial"/>
          <w:i/>
          <w:iCs/>
          <w:sz w:val="24"/>
          <w:szCs w:val="24"/>
        </w:rPr>
        <w:t>la composizione delle voci “ratei e risconti” e della voce “altri accantonamenti” dello stato patrimoniale, quando il loro ammontare è significativo;</w:t>
      </w:r>
    </w:p>
    <w:p w:rsidR="00211123" w:rsidRPr="00211123" w:rsidRDefault="00211123" w:rsidP="00211123">
      <w:pPr>
        <w:numPr>
          <w:ilvl w:val="0"/>
          <w:numId w:val="1"/>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i/>
          <w:iCs/>
          <w:sz w:val="24"/>
          <w:szCs w:val="24"/>
        </w:rPr>
      </w:pPr>
      <w:r w:rsidRPr="00211123">
        <w:rPr>
          <w:rFonts w:ascii="Arial" w:hAnsi="Arial" w:cs="Arial"/>
          <w:i/>
          <w:iCs/>
          <w:sz w:val="24"/>
          <w:szCs w:val="24"/>
        </w:rPr>
        <w:t>la suddivisione degli interessi e degli altri oneri finanziari tra le diverse tipologie di finanziamento;</w:t>
      </w:r>
    </w:p>
    <w:p w:rsidR="00211123" w:rsidRPr="00211123" w:rsidRDefault="00211123" w:rsidP="00211123">
      <w:pPr>
        <w:numPr>
          <w:ilvl w:val="0"/>
          <w:numId w:val="1"/>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i/>
          <w:iCs/>
          <w:sz w:val="24"/>
          <w:szCs w:val="24"/>
        </w:rPr>
      </w:pPr>
      <w:r w:rsidRPr="00211123">
        <w:rPr>
          <w:rFonts w:ascii="Arial" w:hAnsi="Arial" w:cs="Arial"/>
          <w:i/>
          <w:iCs/>
          <w:sz w:val="24"/>
          <w:szCs w:val="24"/>
        </w:rPr>
        <w:t>la composizione delle voci “proventi straordinari” e “oneri straordinari”, quando il loro ammontare è significativo;</w:t>
      </w:r>
    </w:p>
    <w:p w:rsidR="00211123" w:rsidRPr="00211123" w:rsidRDefault="00211123" w:rsidP="00211123">
      <w:pPr>
        <w:numPr>
          <w:ilvl w:val="0"/>
          <w:numId w:val="1"/>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i/>
          <w:iCs/>
          <w:sz w:val="24"/>
          <w:szCs w:val="24"/>
        </w:rPr>
      </w:pPr>
      <w:r w:rsidRPr="00211123">
        <w:rPr>
          <w:rFonts w:ascii="Arial" w:hAnsi="Arial" w:cs="Arial"/>
          <w:i/>
          <w:iCs/>
          <w:sz w:val="24"/>
          <w:szCs w:val="24"/>
        </w:rPr>
        <w:t>cumulativamente per ciascuna categoria, l’ammontare dei compensi spettanti agli amministratori e ai sindaci dell’impresa capogruppo per lo svolgimento di tali funzioni anche in altre imprese incluse nel consolidamento;</w:t>
      </w:r>
    </w:p>
    <w:p w:rsidR="00211123" w:rsidRPr="00211123" w:rsidRDefault="00211123" w:rsidP="00211123">
      <w:pPr>
        <w:numPr>
          <w:ilvl w:val="0"/>
          <w:numId w:val="1"/>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i/>
          <w:iCs/>
          <w:sz w:val="24"/>
          <w:szCs w:val="24"/>
        </w:rPr>
      </w:pPr>
      <w:r w:rsidRPr="00211123">
        <w:rPr>
          <w:rFonts w:ascii="Arial" w:hAnsi="Arial" w:cs="Arial"/>
          <w:i/>
          <w:iCs/>
          <w:sz w:val="24"/>
          <w:szCs w:val="24"/>
        </w:rPr>
        <w:t xml:space="preserve">per ciascuna categoria di strumenti finanziari derivati il loro fair </w:t>
      </w:r>
      <w:proofErr w:type="spellStart"/>
      <w:r w:rsidRPr="00211123">
        <w:rPr>
          <w:rFonts w:ascii="Arial" w:hAnsi="Arial" w:cs="Arial"/>
          <w:i/>
          <w:iCs/>
          <w:sz w:val="24"/>
          <w:szCs w:val="24"/>
        </w:rPr>
        <w:t>value</w:t>
      </w:r>
      <w:proofErr w:type="spellEnd"/>
      <w:r w:rsidRPr="00211123">
        <w:rPr>
          <w:rFonts w:ascii="Arial" w:hAnsi="Arial" w:cs="Arial"/>
          <w:i/>
          <w:iCs/>
          <w:sz w:val="24"/>
          <w:szCs w:val="24"/>
        </w:rPr>
        <w:t xml:space="preserve"> ed informazioni sulla loro entità e sulla loro natura.</w:t>
      </w:r>
    </w:p>
    <w:p w:rsidR="00211123" w:rsidRPr="00211123" w:rsidRDefault="00211123" w:rsidP="00211123">
      <w:pPr>
        <w:numPr>
          <w:ilvl w:val="0"/>
          <w:numId w:val="1"/>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i/>
          <w:iCs/>
          <w:sz w:val="24"/>
          <w:szCs w:val="24"/>
        </w:rPr>
      </w:pPr>
      <w:r w:rsidRPr="00211123">
        <w:rPr>
          <w:rFonts w:ascii="Arial" w:hAnsi="Arial" w:cs="Arial"/>
          <w:i/>
          <w:iCs/>
          <w:sz w:val="24"/>
          <w:szCs w:val="24"/>
        </w:rPr>
        <w:t>l’elenco degli enti e delle società che compongono il gruppo con l’indicazione per ciascun componente del gruppo amministrazione pubblica:</w:t>
      </w:r>
    </w:p>
    <w:p w:rsidR="00211123" w:rsidRPr="00211123" w:rsidRDefault="00211123" w:rsidP="00211123">
      <w:pPr>
        <w:numPr>
          <w:ilvl w:val="0"/>
          <w:numId w:val="1"/>
        </w:numPr>
        <w:tabs>
          <w:tab w:val="left" w:pos="16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360" w:lineRule="auto"/>
        <w:ind w:left="1620"/>
        <w:jc w:val="both"/>
        <w:rPr>
          <w:rFonts w:ascii="Arial" w:hAnsi="Arial" w:cs="Arial"/>
          <w:i/>
          <w:iCs/>
          <w:sz w:val="24"/>
          <w:szCs w:val="24"/>
        </w:rPr>
      </w:pPr>
      <w:r w:rsidRPr="00211123">
        <w:rPr>
          <w:rFonts w:ascii="Arial" w:hAnsi="Arial" w:cs="Arial"/>
          <w:i/>
          <w:iCs/>
          <w:sz w:val="24"/>
          <w:szCs w:val="24"/>
        </w:rPr>
        <w:t>della denominazione, della sede e del capitale e se trattasi di una capogruppo intermedia;</w:t>
      </w:r>
    </w:p>
    <w:p w:rsidR="00211123" w:rsidRPr="00211123" w:rsidRDefault="00211123" w:rsidP="00211123">
      <w:pPr>
        <w:numPr>
          <w:ilvl w:val="0"/>
          <w:numId w:val="1"/>
        </w:numPr>
        <w:tabs>
          <w:tab w:val="left" w:pos="16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360" w:lineRule="auto"/>
        <w:ind w:left="1620"/>
        <w:jc w:val="both"/>
        <w:rPr>
          <w:rFonts w:ascii="Arial" w:hAnsi="Arial" w:cs="Arial"/>
          <w:i/>
          <w:iCs/>
          <w:sz w:val="24"/>
          <w:szCs w:val="24"/>
        </w:rPr>
      </w:pPr>
      <w:r w:rsidRPr="00211123">
        <w:rPr>
          <w:rFonts w:ascii="Arial" w:hAnsi="Arial" w:cs="Arial"/>
          <w:i/>
          <w:iCs/>
          <w:sz w:val="24"/>
          <w:szCs w:val="24"/>
        </w:rPr>
        <w:lastRenderedPageBreak/>
        <w:t>delle quote possedute, direttamente o indirettamente, dalla capogruppo e da ciascuno dei componenti del gruppo;</w:t>
      </w:r>
    </w:p>
    <w:p w:rsidR="00211123" w:rsidRPr="00211123" w:rsidRDefault="00211123" w:rsidP="00211123">
      <w:pPr>
        <w:numPr>
          <w:ilvl w:val="0"/>
          <w:numId w:val="1"/>
        </w:numPr>
        <w:tabs>
          <w:tab w:val="left" w:pos="16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360" w:lineRule="auto"/>
        <w:ind w:left="1620"/>
        <w:jc w:val="both"/>
        <w:rPr>
          <w:rFonts w:ascii="Arial" w:hAnsi="Arial" w:cs="Arial"/>
          <w:i/>
          <w:iCs/>
          <w:sz w:val="24"/>
          <w:szCs w:val="24"/>
        </w:rPr>
      </w:pPr>
      <w:r w:rsidRPr="00211123">
        <w:rPr>
          <w:rFonts w:ascii="Arial" w:hAnsi="Arial" w:cs="Arial"/>
          <w:i/>
          <w:iCs/>
          <w:sz w:val="24"/>
          <w:szCs w:val="24"/>
        </w:rPr>
        <w:t>se diversa, la percentuale dei voti complessivamente spettanti nell’assemblea ordinaria.</w:t>
      </w:r>
    </w:p>
    <w:p w:rsidR="00211123" w:rsidRPr="00211123" w:rsidRDefault="00211123" w:rsidP="00211123">
      <w:pPr>
        <w:numPr>
          <w:ilvl w:val="0"/>
          <w:numId w:val="1"/>
        </w:numPr>
        <w:tabs>
          <w:tab w:val="left" w:pos="16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360" w:lineRule="auto"/>
        <w:ind w:left="1620"/>
        <w:jc w:val="both"/>
        <w:rPr>
          <w:rFonts w:ascii="Arial" w:hAnsi="Arial" w:cs="Arial"/>
          <w:i/>
          <w:iCs/>
          <w:sz w:val="24"/>
          <w:szCs w:val="24"/>
        </w:rPr>
      </w:pPr>
      <w:r w:rsidRPr="00211123">
        <w:rPr>
          <w:rFonts w:ascii="Arial" w:hAnsi="Arial" w:cs="Arial"/>
          <w:i/>
          <w:iCs/>
          <w:sz w:val="24"/>
          <w:szCs w:val="24"/>
        </w:rPr>
        <w:t>della ragione dell’inclusione nel consolidato degli enti o delle società se già non risulta dalle indicazioni richieste dalle lettere b) e c) del comma 1;</w:t>
      </w:r>
    </w:p>
    <w:p w:rsidR="00211123" w:rsidRPr="00211123" w:rsidRDefault="00211123" w:rsidP="00211123">
      <w:pPr>
        <w:numPr>
          <w:ilvl w:val="0"/>
          <w:numId w:val="1"/>
        </w:numPr>
        <w:tabs>
          <w:tab w:val="left" w:pos="16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360" w:lineRule="auto"/>
        <w:ind w:left="1620"/>
        <w:jc w:val="both"/>
        <w:rPr>
          <w:rFonts w:ascii="Arial" w:hAnsi="Arial" w:cs="Arial"/>
          <w:i/>
          <w:iCs/>
          <w:sz w:val="24"/>
          <w:szCs w:val="24"/>
        </w:rPr>
      </w:pPr>
      <w:r w:rsidRPr="00211123">
        <w:rPr>
          <w:rFonts w:ascii="Arial" w:hAnsi="Arial" w:cs="Arial"/>
          <w:i/>
          <w:iCs/>
          <w:sz w:val="24"/>
          <w:szCs w:val="24"/>
        </w:rPr>
        <w:t>della ragione dell’eventuale esclusione dal consolidato di enti strumentali o società controllate e partecipante dalla capogruppo;</w:t>
      </w:r>
    </w:p>
    <w:p w:rsidR="00211123" w:rsidRPr="00211123" w:rsidRDefault="00211123" w:rsidP="00211123">
      <w:pPr>
        <w:numPr>
          <w:ilvl w:val="0"/>
          <w:numId w:val="1"/>
        </w:numPr>
        <w:tabs>
          <w:tab w:val="left" w:pos="16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360" w:lineRule="auto"/>
        <w:ind w:left="1620"/>
        <w:jc w:val="both"/>
        <w:rPr>
          <w:rFonts w:ascii="Arial" w:hAnsi="Arial" w:cs="Arial"/>
          <w:i/>
          <w:iCs/>
          <w:sz w:val="24"/>
          <w:szCs w:val="24"/>
        </w:rPr>
      </w:pPr>
      <w:r w:rsidRPr="00211123">
        <w:rPr>
          <w:rFonts w:ascii="Arial" w:hAnsi="Arial" w:cs="Arial"/>
          <w:i/>
          <w:iCs/>
          <w:sz w:val="24"/>
          <w:szCs w:val="24"/>
        </w:rPr>
        <w:t>qualora si sia verificata una variazione notevole nella composizione del complesso delle imprese incluse nel consolidamento, devono essere fornite le informazioni che rendano significativo il confronto fra lo stato patrimoniale e il conto economico dell’esercizio e quelli dell’esercizio precedente (ad esclusione del primo esercizio di redazione del bilancio consolidato);</w:t>
      </w:r>
    </w:p>
    <w:p w:rsidR="00211123" w:rsidRPr="00211123" w:rsidRDefault="00211123" w:rsidP="00211123">
      <w:pPr>
        <w:numPr>
          <w:ilvl w:val="0"/>
          <w:numId w:val="1"/>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i/>
          <w:iCs/>
          <w:sz w:val="24"/>
          <w:szCs w:val="24"/>
        </w:rPr>
      </w:pPr>
      <w:r w:rsidRPr="00211123">
        <w:rPr>
          <w:rFonts w:ascii="Arial" w:hAnsi="Arial" w:cs="Arial"/>
          <w:i/>
          <w:iCs/>
          <w:sz w:val="24"/>
          <w:szCs w:val="24"/>
        </w:rPr>
        <w:t>l’elenco degli enti, le aziende e le società componenti del gruppo comprese nel bilancio consolidato con l’indicazione per ciascun componente:</w:t>
      </w:r>
    </w:p>
    <w:p w:rsidR="00211123" w:rsidRPr="00211123" w:rsidRDefault="00211123" w:rsidP="00211123">
      <w:pPr>
        <w:numPr>
          <w:ilvl w:val="1"/>
          <w:numId w:val="1"/>
        </w:numPr>
        <w:tabs>
          <w:tab w:val="left" w:pos="16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360" w:lineRule="auto"/>
        <w:jc w:val="both"/>
        <w:rPr>
          <w:rFonts w:ascii="Arial" w:hAnsi="Arial" w:cs="Arial"/>
          <w:i/>
          <w:iCs/>
          <w:sz w:val="24"/>
          <w:szCs w:val="24"/>
        </w:rPr>
      </w:pPr>
      <w:r w:rsidRPr="00211123">
        <w:rPr>
          <w:rFonts w:ascii="Arial" w:hAnsi="Arial" w:cs="Arial"/>
          <w:i/>
          <w:iCs/>
          <w:sz w:val="24"/>
          <w:szCs w:val="24"/>
        </w:rPr>
        <w:t xml:space="preserve">della percentuale utilizzata per consolidare il bilancio e, al fine di valutare l’effetto delle esternalizzazioni, dell’incidenza dei ricavi imputabili alla controllante rispetto al totale dei ricavi propri, comprensivi delle entrate </w:t>
      </w:r>
      <w:proofErr w:type="spellStart"/>
      <w:r w:rsidRPr="00211123">
        <w:rPr>
          <w:rFonts w:ascii="Arial" w:hAnsi="Arial" w:cs="Arial"/>
          <w:i/>
          <w:iCs/>
          <w:sz w:val="24"/>
          <w:szCs w:val="24"/>
        </w:rPr>
        <w:t>esternalizzate</w:t>
      </w:r>
      <w:proofErr w:type="spellEnd"/>
      <w:r w:rsidRPr="00211123">
        <w:rPr>
          <w:rFonts w:ascii="Arial" w:hAnsi="Arial" w:cs="Arial"/>
          <w:i/>
          <w:iCs/>
          <w:sz w:val="24"/>
          <w:szCs w:val="24"/>
        </w:rPr>
        <w:t>;</w:t>
      </w:r>
    </w:p>
    <w:p w:rsidR="00211123" w:rsidRPr="00211123" w:rsidRDefault="00211123" w:rsidP="00211123">
      <w:pPr>
        <w:numPr>
          <w:ilvl w:val="1"/>
          <w:numId w:val="1"/>
        </w:numPr>
        <w:tabs>
          <w:tab w:val="left" w:pos="16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360" w:lineRule="auto"/>
        <w:jc w:val="both"/>
        <w:rPr>
          <w:rFonts w:ascii="Arial" w:hAnsi="Arial" w:cs="Arial"/>
          <w:i/>
          <w:iCs/>
          <w:sz w:val="24"/>
          <w:szCs w:val="24"/>
        </w:rPr>
      </w:pPr>
      <w:r w:rsidRPr="00211123">
        <w:rPr>
          <w:rFonts w:ascii="Arial" w:hAnsi="Arial" w:cs="Arial"/>
          <w:i/>
          <w:iCs/>
          <w:sz w:val="24"/>
          <w:szCs w:val="24"/>
        </w:rPr>
        <w:t>delle spese di personale utilizzato a qualsiasi titolo, e con qualsivoglia tipologia contrattuale;</w:t>
      </w:r>
    </w:p>
    <w:p w:rsidR="00211123" w:rsidRPr="00211123" w:rsidRDefault="00211123" w:rsidP="00211123">
      <w:pPr>
        <w:numPr>
          <w:ilvl w:val="1"/>
          <w:numId w:val="1"/>
        </w:numPr>
        <w:tabs>
          <w:tab w:val="left" w:pos="1080"/>
          <w:tab w:val="left" w:pos="16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i/>
          <w:iCs/>
          <w:sz w:val="24"/>
          <w:szCs w:val="24"/>
        </w:rPr>
        <w:t>delle perdite ripianate dall’ente, attraverso conferimenti o altre operazioni finanziarie, negli ultimi tre anni.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Il presente documento analizza le richieste informazioni al fine di fornire una piena conoscenza dei risultati del gruppo.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sz w:val="24"/>
          <w:szCs w:val="24"/>
        </w:rPr>
      </w:pPr>
      <w:r w:rsidRPr="00211123">
        <w:rPr>
          <w:rFonts w:ascii="Arial" w:hAnsi="Arial" w:cs="Arial"/>
          <w:sz w:val="24"/>
          <w:szCs w:val="24"/>
        </w:rPr>
        <w:br w:type="page"/>
      </w:r>
      <w:r w:rsidRPr="00211123">
        <w:rPr>
          <w:rFonts w:ascii="Arial" w:hAnsi="Arial" w:cs="Arial"/>
          <w:b/>
          <w:bCs/>
          <w:sz w:val="24"/>
          <w:szCs w:val="24"/>
        </w:rPr>
        <w:lastRenderedPageBreak/>
        <w:t>1 RELAZIONE SULLA GESTIONE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E724C8"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E724C8">
        <w:rPr>
          <w:rFonts w:ascii="Arial" w:hAnsi="Arial" w:cs="Arial"/>
          <w:sz w:val="24"/>
          <w:szCs w:val="24"/>
        </w:rPr>
        <w:t>Ai sensi del punto n.5 del Principio contabile applicato concernente il bilancio consolidato, trattandosi del primo anno di applicazione dell’istituto, le variazioni intervenute nella consistenza delle voci di bilancio rispetto all’esercizio precedente non sono state valorizzate. Ciò nonostante si ritiene comunque opportuno evidenziare gli aspetti di maggiore interesse relativi ai principali aggregati del bilancio consolidato 2016</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sz w:val="24"/>
          <w:szCs w:val="24"/>
        </w:rPr>
      </w:pPr>
      <w:r w:rsidRPr="00211123">
        <w:rPr>
          <w:rFonts w:ascii="Arial" w:hAnsi="Arial" w:cs="Arial"/>
          <w:b/>
          <w:bCs/>
          <w:sz w:val="24"/>
          <w:szCs w:val="24"/>
        </w:rPr>
        <w:t>1.1 Analisi dei principali dati economici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Il conto economico consolidato del Gruppo, è il seguente (in Euro):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sz w:val="24"/>
          <w:szCs w:val="24"/>
        </w:rPr>
      </w:pPr>
    </w:p>
    <w:tbl>
      <w:tblPr>
        <w:tblW w:w="0" w:type="auto"/>
        <w:tblLayout w:type="fixed"/>
        <w:tblCellMar>
          <w:top w:w="28" w:type="dxa"/>
          <w:left w:w="28" w:type="dxa"/>
          <w:bottom w:w="28" w:type="dxa"/>
          <w:right w:w="28" w:type="dxa"/>
        </w:tblCellMar>
        <w:tblLook w:val="0000"/>
      </w:tblPr>
      <w:tblGrid>
        <w:gridCol w:w="5533"/>
        <w:gridCol w:w="1440"/>
        <w:gridCol w:w="1455"/>
        <w:gridCol w:w="1452"/>
      </w:tblGrid>
      <w:tr w:rsidR="00211123" w:rsidRPr="00211123">
        <w:trPr>
          <w:trHeight w:val="255"/>
        </w:trPr>
        <w:tc>
          <w:tcPr>
            <w:tcW w:w="5533" w:type="dxa"/>
            <w:tcBorders>
              <w:top w:val="nil"/>
              <w:left w:val="nil"/>
              <w:bottom w:val="single" w:sz="4" w:space="0" w:color="auto"/>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i/>
                <w:iCs/>
                <w:sz w:val="16"/>
                <w:szCs w:val="16"/>
              </w:rPr>
            </w:pPr>
            <w:r w:rsidRPr="00211123">
              <w:rPr>
                <w:rFonts w:ascii="Arial" w:hAnsi="Arial" w:cs="Arial"/>
                <w:b/>
                <w:bCs/>
                <w:i/>
                <w:iCs/>
                <w:sz w:val="16"/>
                <w:szCs w:val="16"/>
              </w:rPr>
              <w:t>CONTO ECONOMICO CONSOLIDATO</w:t>
            </w:r>
          </w:p>
        </w:tc>
        <w:tc>
          <w:tcPr>
            <w:tcW w:w="1440" w:type="dxa"/>
            <w:tcBorders>
              <w:top w:val="single" w:sz="4" w:space="0" w:color="auto"/>
              <w:left w:val="single" w:sz="4" w:space="0" w:color="auto"/>
              <w:bottom w:val="single" w:sz="4" w:space="0" w:color="auto"/>
              <w:right w:val="single" w:sz="4" w:space="0" w:color="auto"/>
            </w:tcBorders>
            <w:shd w:val="clear" w:color="auto" w:fill="E6E6E6"/>
            <w:tcMar>
              <w:left w:w="38" w:type="dxa"/>
              <w:right w:w="38" w:type="dxa"/>
            </w:tcMar>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i/>
                <w:iCs/>
                <w:sz w:val="16"/>
                <w:szCs w:val="16"/>
              </w:rPr>
            </w:pPr>
            <w:r w:rsidRPr="00211123">
              <w:rPr>
                <w:rFonts w:ascii="Arial" w:hAnsi="Arial" w:cs="Arial"/>
                <w:b/>
                <w:bCs/>
                <w:i/>
                <w:iCs/>
                <w:sz w:val="16"/>
                <w:szCs w:val="16"/>
              </w:rPr>
              <w:t>2016</w:t>
            </w:r>
          </w:p>
        </w:tc>
        <w:tc>
          <w:tcPr>
            <w:tcW w:w="1455" w:type="dxa"/>
            <w:tcBorders>
              <w:top w:val="single" w:sz="4" w:space="0" w:color="auto"/>
              <w:left w:val="single" w:sz="4" w:space="0" w:color="auto"/>
              <w:bottom w:val="single" w:sz="4" w:space="0" w:color="auto"/>
              <w:right w:val="single" w:sz="4" w:space="0" w:color="auto"/>
            </w:tcBorders>
            <w:shd w:val="clear" w:color="auto" w:fill="E6E6E6"/>
            <w:tcMar>
              <w:left w:w="38" w:type="dxa"/>
              <w:right w:w="38" w:type="dxa"/>
            </w:tcMar>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i/>
                <w:iCs/>
                <w:sz w:val="16"/>
                <w:szCs w:val="16"/>
              </w:rPr>
            </w:pPr>
            <w:r w:rsidRPr="00211123">
              <w:rPr>
                <w:rFonts w:ascii="Arial" w:hAnsi="Arial" w:cs="Arial"/>
                <w:b/>
                <w:bCs/>
                <w:i/>
                <w:iCs/>
                <w:sz w:val="16"/>
                <w:szCs w:val="16"/>
              </w:rPr>
              <w:t>2015</w:t>
            </w:r>
          </w:p>
        </w:tc>
        <w:tc>
          <w:tcPr>
            <w:tcW w:w="1452" w:type="dxa"/>
            <w:tcBorders>
              <w:top w:val="single" w:sz="4" w:space="0" w:color="auto"/>
              <w:left w:val="single" w:sz="4" w:space="0" w:color="auto"/>
              <w:bottom w:val="single" w:sz="4" w:space="0" w:color="auto"/>
              <w:right w:val="single" w:sz="4" w:space="0" w:color="auto"/>
            </w:tcBorders>
            <w:shd w:val="clear" w:color="auto" w:fill="E6E6E6"/>
            <w:tcMar>
              <w:left w:w="38" w:type="dxa"/>
              <w:right w:w="38" w:type="dxa"/>
            </w:tcMar>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i/>
                <w:iCs/>
                <w:sz w:val="16"/>
                <w:szCs w:val="16"/>
              </w:rPr>
            </w:pPr>
            <w:r w:rsidRPr="00211123">
              <w:rPr>
                <w:rFonts w:ascii="Arial" w:hAnsi="Arial" w:cs="Arial"/>
                <w:b/>
                <w:bCs/>
                <w:i/>
                <w:iCs/>
                <w:sz w:val="16"/>
                <w:szCs w:val="16"/>
              </w:rPr>
              <w:t>Variazioni</w:t>
            </w:r>
          </w:p>
        </w:tc>
      </w:tr>
      <w:tr w:rsidR="00211123" w:rsidRPr="00211123">
        <w:tblPrEx>
          <w:tblCellMar>
            <w:left w:w="38" w:type="dxa"/>
          </w:tblCellMar>
        </w:tblPrEx>
        <w:trPr>
          <w:trHeight w:val="255"/>
        </w:trPr>
        <w:tc>
          <w:tcPr>
            <w:tcW w:w="5533" w:type="dxa"/>
            <w:tcBorders>
              <w:top w:val="single" w:sz="4" w:space="0" w:color="auto"/>
              <w:left w:val="single" w:sz="4" w:space="0" w:color="auto"/>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6"/>
                <w:szCs w:val="16"/>
              </w:rPr>
            </w:pPr>
            <w:r w:rsidRPr="00211123">
              <w:rPr>
                <w:rFonts w:ascii="Arial" w:hAnsi="Arial" w:cs="Arial"/>
                <w:sz w:val="16"/>
                <w:szCs w:val="16"/>
              </w:rPr>
              <w:t>A) Componenti positivi della gestione</w:t>
            </w:r>
          </w:p>
        </w:tc>
        <w:tc>
          <w:tcPr>
            <w:tcW w:w="1440" w:type="dxa"/>
            <w:tcBorders>
              <w:top w:val="single" w:sz="4" w:space="0" w:color="auto"/>
              <w:left w:val="single" w:sz="4" w:space="0" w:color="auto"/>
              <w:bottom w:val="nil"/>
              <w:right w:val="single" w:sz="6" w:space="0" w:color="auto"/>
            </w:tcBorders>
            <w:tcMar>
              <w:right w:w="43" w:type="dxa"/>
            </w:tcMar>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10.401.358,69</w:t>
            </w:r>
          </w:p>
        </w:tc>
        <w:tc>
          <w:tcPr>
            <w:tcW w:w="1455" w:type="dxa"/>
            <w:tcBorders>
              <w:top w:val="single" w:sz="4" w:space="0" w:color="auto"/>
              <w:left w:val="single" w:sz="6" w:space="0" w:color="auto"/>
              <w:bottom w:val="nil"/>
              <w:right w:val="single" w:sz="6" w:space="0" w:color="auto"/>
            </w:tcBorders>
            <w:tcMar>
              <w:left w:w="43" w:type="dxa"/>
              <w:right w:w="43" w:type="dxa"/>
            </w:tcMar>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52" w:type="dxa"/>
            <w:tcBorders>
              <w:top w:val="single" w:sz="4" w:space="0" w:color="auto"/>
              <w:left w:val="single" w:sz="6" w:space="0" w:color="auto"/>
              <w:bottom w:val="nil"/>
              <w:right w:val="single" w:sz="4" w:space="0" w:color="auto"/>
            </w:tcBorders>
            <w:tcMar>
              <w:left w:w="43" w:type="dxa"/>
              <w:right w:w="38" w:type="dxa"/>
            </w:tcMar>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10.401.358,69</w:t>
            </w:r>
          </w:p>
        </w:tc>
      </w:tr>
      <w:tr w:rsidR="00211123" w:rsidRPr="00211123">
        <w:tblPrEx>
          <w:tblCellMar>
            <w:left w:w="38" w:type="dxa"/>
          </w:tblCellMar>
        </w:tblPrEx>
        <w:trPr>
          <w:trHeight w:val="255"/>
        </w:trPr>
        <w:tc>
          <w:tcPr>
            <w:tcW w:w="5533" w:type="dxa"/>
            <w:tcBorders>
              <w:top w:val="nil"/>
              <w:left w:val="single" w:sz="4" w:space="0" w:color="auto"/>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6"/>
                <w:szCs w:val="16"/>
              </w:rPr>
            </w:pPr>
            <w:r w:rsidRPr="00211123">
              <w:rPr>
                <w:rFonts w:ascii="Arial" w:hAnsi="Arial" w:cs="Arial"/>
                <w:sz w:val="16"/>
                <w:szCs w:val="16"/>
              </w:rPr>
              <w:t>B) Componenti negativi della gestione</w:t>
            </w:r>
          </w:p>
        </w:tc>
        <w:tc>
          <w:tcPr>
            <w:tcW w:w="1440" w:type="dxa"/>
            <w:tcBorders>
              <w:top w:val="nil"/>
              <w:left w:val="single" w:sz="4" w:space="0" w:color="auto"/>
              <w:bottom w:val="single" w:sz="4" w:space="0" w:color="auto"/>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9.022.440,40</w:t>
            </w:r>
          </w:p>
        </w:tc>
        <w:tc>
          <w:tcPr>
            <w:tcW w:w="1455" w:type="dxa"/>
            <w:tcBorders>
              <w:top w:val="nil"/>
              <w:left w:val="single" w:sz="4" w:space="0" w:color="auto"/>
              <w:bottom w:val="single" w:sz="4" w:space="0" w:color="auto"/>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52" w:type="dxa"/>
            <w:tcBorders>
              <w:top w:val="nil"/>
              <w:left w:val="single" w:sz="4" w:space="0" w:color="auto"/>
              <w:bottom w:val="single" w:sz="4" w:space="0" w:color="auto"/>
              <w:right w:val="single" w:sz="4" w:space="0" w:color="auto"/>
            </w:tcBorders>
            <w:tcMar>
              <w:right w:w="38" w:type="dxa"/>
            </w:tcMar>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9.022.440,40</w:t>
            </w:r>
          </w:p>
        </w:tc>
      </w:tr>
      <w:tr w:rsidR="00211123" w:rsidRPr="00211123">
        <w:tblPrEx>
          <w:tblCellMar>
            <w:left w:w="38" w:type="dxa"/>
            <w:right w:w="38" w:type="dxa"/>
          </w:tblCellMar>
        </w:tblPrEx>
        <w:tc>
          <w:tcPr>
            <w:tcW w:w="5533"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differenza (A-B)</w:t>
            </w:r>
          </w:p>
        </w:tc>
        <w:tc>
          <w:tcPr>
            <w:tcW w:w="1440" w:type="dxa"/>
            <w:tcBorders>
              <w:top w:val="single" w:sz="4" w:space="0" w:color="auto"/>
              <w:left w:val="single" w:sz="4" w:space="0" w:color="auto"/>
              <w:bottom w:val="single" w:sz="4" w:space="0" w:color="auto"/>
              <w:right w:val="nil"/>
            </w:tcBorders>
            <w:tcMar>
              <w:right w:w="28" w:type="dxa"/>
            </w:tcMar>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1.378.918,29</w:t>
            </w:r>
          </w:p>
        </w:tc>
        <w:tc>
          <w:tcPr>
            <w:tcW w:w="1455" w:type="dxa"/>
            <w:tcBorders>
              <w:top w:val="single" w:sz="4" w:space="0" w:color="auto"/>
              <w:left w:val="single" w:sz="4" w:space="0" w:color="auto"/>
              <w:bottom w:val="single" w:sz="4" w:space="0" w:color="auto"/>
              <w:right w:val="nil"/>
            </w:tcBorders>
            <w:tcMar>
              <w:right w:w="28" w:type="dxa"/>
            </w:tcMar>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0,00</w:t>
            </w:r>
          </w:p>
        </w:tc>
        <w:tc>
          <w:tcPr>
            <w:tcW w:w="1452"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1.378.918,29</w:t>
            </w:r>
          </w:p>
        </w:tc>
      </w:tr>
      <w:tr w:rsidR="00211123" w:rsidRPr="00211123">
        <w:tblPrEx>
          <w:tblCellMar>
            <w:left w:w="38" w:type="dxa"/>
          </w:tblCellMar>
        </w:tblPrEx>
        <w:trPr>
          <w:trHeight w:val="255"/>
        </w:trPr>
        <w:tc>
          <w:tcPr>
            <w:tcW w:w="5533" w:type="dxa"/>
            <w:tcBorders>
              <w:top w:val="nil"/>
              <w:left w:val="single" w:sz="4" w:space="0" w:color="auto"/>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6"/>
                <w:szCs w:val="16"/>
              </w:rPr>
            </w:pPr>
            <w:r w:rsidRPr="00211123">
              <w:rPr>
                <w:rFonts w:ascii="Arial" w:hAnsi="Arial" w:cs="Arial"/>
                <w:sz w:val="16"/>
                <w:szCs w:val="16"/>
              </w:rPr>
              <w:t>C) PROVENTI ED ONERI FINANZIARI</w:t>
            </w:r>
          </w:p>
        </w:tc>
        <w:tc>
          <w:tcPr>
            <w:tcW w:w="1440" w:type="dxa"/>
            <w:tcBorders>
              <w:top w:val="nil"/>
              <w:left w:val="single" w:sz="4" w:space="0" w:color="auto"/>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 </w:t>
            </w:r>
          </w:p>
        </w:tc>
        <w:tc>
          <w:tcPr>
            <w:tcW w:w="1455" w:type="dxa"/>
            <w:tcBorders>
              <w:top w:val="nil"/>
              <w:left w:val="single" w:sz="4" w:space="0" w:color="auto"/>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 </w:t>
            </w:r>
          </w:p>
        </w:tc>
        <w:tc>
          <w:tcPr>
            <w:tcW w:w="1452" w:type="dxa"/>
            <w:tcBorders>
              <w:top w:val="nil"/>
              <w:left w:val="single" w:sz="4" w:space="0" w:color="auto"/>
              <w:bottom w:val="nil"/>
              <w:right w:val="single" w:sz="4" w:space="0" w:color="auto"/>
            </w:tcBorders>
            <w:tcMar>
              <w:right w:w="38" w:type="dxa"/>
            </w:tcMar>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r>
      <w:tr w:rsidR="00211123" w:rsidRPr="00211123">
        <w:tblPrEx>
          <w:tblCellMar>
            <w:left w:w="38" w:type="dxa"/>
          </w:tblCellMar>
        </w:tblPrEx>
        <w:trPr>
          <w:trHeight w:val="255"/>
        </w:trPr>
        <w:tc>
          <w:tcPr>
            <w:tcW w:w="5533" w:type="dxa"/>
            <w:tcBorders>
              <w:top w:val="nil"/>
              <w:left w:val="single" w:sz="4" w:space="0" w:color="auto"/>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6"/>
                <w:szCs w:val="16"/>
              </w:rPr>
            </w:pPr>
            <w:r w:rsidRPr="00211123">
              <w:rPr>
                <w:rFonts w:ascii="Arial" w:hAnsi="Arial" w:cs="Arial"/>
                <w:sz w:val="16"/>
                <w:szCs w:val="16"/>
              </w:rPr>
              <w:t>Proventi finanziari</w:t>
            </w:r>
          </w:p>
        </w:tc>
        <w:tc>
          <w:tcPr>
            <w:tcW w:w="1440" w:type="dxa"/>
            <w:tcBorders>
              <w:top w:val="nil"/>
              <w:left w:val="single" w:sz="4" w:space="0" w:color="auto"/>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789,73</w:t>
            </w:r>
          </w:p>
        </w:tc>
        <w:tc>
          <w:tcPr>
            <w:tcW w:w="1455" w:type="dxa"/>
            <w:tcBorders>
              <w:top w:val="nil"/>
              <w:left w:val="single" w:sz="4" w:space="0" w:color="auto"/>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52" w:type="dxa"/>
            <w:tcBorders>
              <w:top w:val="nil"/>
              <w:left w:val="single" w:sz="4" w:space="0" w:color="auto"/>
              <w:bottom w:val="nil"/>
              <w:right w:val="single" w:sz="4" w:space="0" w:color="auto"/>
            </w:tcBorders>
            <w:tcMar>
              <w:right w:w="38" w:type="dxa"/>
            </w:tcMar>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789,73</w:t>
            </w:r>
          </w:p>
        </w:tc>
      </w:tr>
      <w:tr w:rsidR="00211123" w:rsidRPr="00211123">
        <w:tblPrEx>
          <w:tblCellMar>
            <w:left w:w="38" w:type="dxa"/>
          </w:tblCellMar>
        </w:tblPrEx>
        <w:trPr>
          <w:trHeight w:val="255"/>
        </w:trPr>
        <w:tc>
          <w:tcPr>
            <w:tcW w:w="5533" w:type="dxa"/>
            <w:tcBorders>
              <w:top w:val="nil"/>
              <w:left w:val="single" w:sz="4" w:space="0" w:color="auto"/>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6"/>
                <w:szCs w:val="16"/>
              </w:rPr>
            </w:pPr>
            <w:r w:rsidRPr="00211123">
              <w:rPr>
                <w:rFonts w:ascii="Arial" w:hAnsi="Arial" w:cs="Arial"/>
                <w:sz w:val="16"/>
                <w:szCs w:val="16"/>
              </w:rPr>
              <w:t>Oneri finanziari</w:t>
            </w:r>
          </w:p>
        </w:tc>
        <w:tc>
          <w:tcPr>
            <w:tcW w:w="1440" w:type="dxa"/>
            <w:tcBorders>
              <w:top w:val="nil"/>
              <w:left w:val="single" w:sz="4" w:space="0" w:color="auto"/>
              <w:bottom w:val="single" w:sz="4" w:space="0" w:color="auto"/>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291.207,35</w:t>
            </w:r>
          </w:p>
        </w:tc>
        <w:tc>
          <w:tcPr>
            <w:tcW w:w="1455" w:type="dxa"/>
            <w:tcBorders>
              <w:top w:val="nil"/>
              <w:left w:val="single" w:sz="4" w:space="0" w:color="auto"/>
              <w:bottom w:val="single" w:sz="4" w:space="0" w:color="auto"/>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52" w:type="dxa"/>
            <w:tcBorders>
              <w:top w:val="nil"/>
              <w:left w:val="single" w:sz="4" w:space="0" w:color="auto"/>
              <w:bottom w:val="single" w:sz="4" w:space="0" w:color="auto"/>
              <w:right w:val="single" w:sz="4" w:space="0" w:color="auto"/>
            </w:tcBorders>
            <w:tcMar>
              <w:right w:w="38" w:type="dxa"/>
            </w:tcMar>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291.207,35</w:t>
            </w:r>
          </w:p>
        </w:tc>
      </w:tr>
      <w:tr w:rsidR="00211123" w:rsidRPr="00211123">
        <w:tblPrEx>
          <w:tblCellMar>
            <w:left w:w="38" w:type="dxa"/>
            <w:right w:w="38" w:type="dxa"/>
          </w:tblCellMar>
        </w:tblPrEx>
        <w:trPr>
          <w:trHeight w:val="270"/>
        </w:trPr>
        <w:tc>
          <w:tcPr>
            <w:tcW w:w="5533"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 xml:space="preserve">totale (C) </w:t>
            </w:r>
          </w:p>
        </w:tc>
        <w:tc>
          <w:tcPr>
            <w:tcW w:w="1440"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-290.417,62</w:t>
            </w:r>
          </w:p>
        </w:tc>
        <w:tc>
          <w:tcPr>
            <w:tcW w:w="1455"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0,00</w:t>
            </w:r>
          </w:p>
        </w:tc>
        <w:tc>
          <w:tcPr>
            <w:tcW w:w="1452"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-290.417,62</w:t>
            </w:r>
          </w:p>
        </w:tc>
      </w:tr>
      <w:tr w:rsidR="00211123" w:rsidRPr="00211123">
        <w:tblPrEx>
          <w:tblCellMar>
            <w:left w:w="38" w:type="dxa"/>
          </w:tblCellMar>
        </w:tblPrEx>
        <w:trPr>
          <w:trHeight w:val="255"/>
        </w:trPr>
        <w:tc>
          <w:tcPr>
            <w:tcW w:w="5533" w:type="dxa"/>
            <w:tcBorders>
              <w:top w:val="nil"/>
              <w:left w:val="single" w:sz="4" w:space="0" w:color="auto"/>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D) RETTIFICHE </w:t>
            </w:r>
            <w:proofErr w:type="spellStart"/>
            <w:r w:rsidRPr="00211123">
              <w:rPr>
                <w:rFonts w:ascii="Arial" w:hAnsi="Arial" w:cs="Arial"/>
                <w:sz w:val="16"/>
                <w:szCs w:val="16"/>
              </w:rPr>
              <w:t>DI</w:t>
            </w:r>
            <w:proofErr w:type="spellEnd"/>
            <w:r w:rsidRPr="00211123">
              <w:rPr>
                <w:rFonts w:ascii="Arial" w:hAnsi="Arial" w:cs="Arial"/>
                <w:sz w:val="16"/>
                <w:szCs w:val="16"/>
              </w:rPr>
              <w:t xml:space="preserve"> VALORE ATTIVITA' FINANZIARIE</w:t>
            </w:r>
          </w:p>
        </w:tc>
        <w:tc>
          <w:tcPr>
            <w:tcW w:w="1440" w:type="dxa"/>
            <w:tcBorders>
              <w:top w:val="single" w:sz="4" w:space="0" w:color="auto"/>
              <w:left w:val="single" w:sz="4" w:space="0" w:color="auto"/>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 </w:t>
            </w:r>
          </w:p>
        </w:tc>
        <w:tc>
          <w:tcPr>
            <w:tcW w:w="1455" w:type="dxa"/>
            <w:tcBorders>
              <w:top w:val="single" w:sz="4" w:space="0" w:color="auto"/>
              <w:left w:val="single" w:sz="4" w:space="0" w:color="auto"/>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 </w:t>
            </w:r>
          </w:p>
        </w:tc>
        <w:tc>
          <w:tcPr>
            <w:tcW w:w="1452" w:type="dxa"/>
            <w:tcBorders>
              <w:top w:val="single" w:sz="4" w:space="0" w:color="auto"/>
              <w:left w:val="single" w:sz="4" w:space="0" w:color="auto"/>
              <w:bottom w:val="nil"/>
              <w:right w:val="single" w:sz="4" w:space="0" w:color="auto"/>
            </w:tcBorders>
            <w:tcMar>
              <w:right w:w="38" w:type="dxa"/>
            </w:tcMar>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r>
      <w:tr w:rsidR="00211123" w:rsidRPr="00211123">
        <w:tblPrEx>
          <w:tblCellMar>
            <w:left w:w="38" w:type="dxa"/>
          </w:tblCellMar>
        </w:tblPrEx>
        <w:trPr>
          <w:trHeight w:val="255"/>
        </w:trPr>
        <w:tc>
          <w:tcPr>
            <w:tcW w:w="5533" w:type="dxa"/>
            <w:tcBorders>
              <w:top w:val="nil"/>
              <w:left w:val="single" w:sz="4" w:space="0" w:color="auto"/>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Rivalutazioni </w:t>
            </w:r>
          </w:p>
        </w:tc>
        <w:tc>
          <w:tcPr>
            <w:tcW w:w="1440" w:type="dxa"/>
            <w:tcBorders>
              <w:top w:val="nil"/>
              <w:left w:val="single" w:sz="4" w:space="0" w:color="auto"/>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55" w:type="dxa"/>
            <w:tcBorders>
              <w:top w:val="nil"/>
              <w:left w:val="single" w:sz="4" w:space="0" w:color="auto"/>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52" w:type="dxa"/>
            <w:tcBorders>
              <w:top w:val="nil"/>
              <w:left w:val="single" w:sz="4" w:space="0" w:color="auto"/>
              <w:bottom w:val="nil"/>
              <w:right w:val="single" w:sz="4" w:space="0" w:color="auto"/>
            </w:tcBorders>
            <w:tcMar>
              <w:right w:w="38" w:type="dxa"/>
            </w:tcMar>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38" w:type="dxa"/>
          </w:tblCellMar>
        </w:tblPrEx>
        <w:trPr>
          <w:trHeight w:val="270"/>
        </w:trPr>
        <w:tc>
          <w:tcPr>
            <w:tcW w:w="5533" w:type="dxa"/>
            <w:tcBorders>
              <w:top w:val="nil"/>
              <w:left w:val="single" w:sz="4" w:space="0" w:color="auto"/>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6"/>
                <w:szCs w:val="16"/>
              </w:rPr>
            </w:pPr>
            <w:r w:rsidRPr="00211123">
              <w:rPr>
                <w:rFonts w:ascii="Arial" w:hAnsi="Arial" w:cs="Arial"/>
                <w:sz w:val="16"/>
                <w:szCs w:val="16"/>
              </w:rPr>
              <w:t>Svalutazioni</w:t>
            </w:r>
          </w:p>
        </w:tc>
        <w:tc>
          <w:tcPr>
            <w:tcW w:w="1440" w:type="dxa"/>
            <w:tcBorders>
              <w:top w:val="nil"/>
              <w:left w:val="single" w:sz="4" w:space="0" w:color="auto"/>
              <w:bottom w:val="single" w:sz="4" w:space="0" w:color="auto"/>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55" w:type="dxa"/>
            <w:tcBorders>
              <w:top w:val="nil"/>
              <w:left w:val="single" w:sz="4" w:space="0" w:color="auto"/>
              <w:bottom w:val="single" w:sz="4" w:space="0" w:color="auto"/>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52" w:type="dxa"/>
            <w:tcBorders>
              <w:top w:val="nil"/>
              <w:left w:val="single" w:sz="4" w:space="0" w:color="auto"/>
              <w:bottom w:val="single" w:sz="4" w:space="0" w:color="auto"/>
              <w:right w:val="single" w:sz="4" w:space="0" w:color="auto"/>
            </w:tcBorders>
            <w:tcMar>
              <w:right w:w="38" w:type="dxa"/>
            </w:tcMar>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38" w:type="dxa"/>
            <w:right w:w="38" w:type="dxa"/>
          </w:tblCellMar>
        </w:tblPrEx>
        <w:trPr>
          <w:trHeight w:val="270"/>
        </w:trPr>
        <w:tc>
          <w:tcPr>
            <w:tcW w:w="5533"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totale ( D)</w:t>
            </w:r>
          </w:p>
        </w:tc>
        <w:tc>
          <w:tcPr>
            <w:tcW w:w="1440"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0,00</w:t>
            </w:r>
          </w:p>
        </w:tc>
        <w:tc>
          <w:tcPr>
            <w:tcW w:w="1455"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0,00</w:t>
            </w:r>
          </w:p>
        </w:tc>
        <w:tc>
          <w:tcPr>
            <w:tcW w:w="1452"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0,00</w:t>
            </w:r>
          </w:p>
        </w:tc>
      </w:tr>
      <w:tr w:rsidR="00211123" w:rsidRPr="00211123">
        <w:tblPrEx>
          <w:tblCellMar>
            <w:left w:w="38" w:type="dxa"/>
          </w:tblCellMar>
        </w:tblPrEx>
        <w:trPr>
          <w:trHeight w:val="255"/>
        </w:trPr>
        <w:tc>
          <w:tcPr>
            <w:tcW w:w="5533" w:type="dxa"/>
            <w:tcBorders>
              <w:top w:val="nil"/>
              <w:left w:val="single" w:sz="4" w:space="0" w:color="auto"/>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6"/>
                <w:szCs w:val="16"/>
              </w:rPr>
            </w:pPr>
            <w:r w:rsidRPr="00211123">
              <w:rPr>
                <w:rFonts w:ascii="Arial" w:hAnsi="Arial" w:cs="Arial"/>
                <w:sz w:val="16"/>
                <w:szCs w:val="16"/>
              </w:rPr>
              <w:t>E) PROVENTI ED ONERI STRAORDINARI</w:t>
            </w:r>
          </w:p>
        </w:tc>
        <w:tc>
          <w:tcPr>
            <w:tcW w:w="1440" w:type="dxa"/>
            <w:tcBorders>
              <w:top w:val="single" w:sz="4" w:space="0" w:color="auto"/>
              <w:left w:val="single" w:sz="4" w:space="0" w:color="auto"/>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 </w:t>
            </w:r>
          </w:p>
        </w:tc>
        <w:tc>
          <w:tcPr>
            <w:tcW w:w="1455" w:type="dxa"/>
            <w:tcBorders>
              <w:top w:val="single" w:sz="4" w:space="0" w:color="auto"/>
              <w:left w:val="single" w:sz="4" w:space="0" w:color="auto"/>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 </w:t>
            </w:r>
          </w:p>
        </w:tc>
        <w:tc>
          <w:tcPr>
            <w:tcW w:w="1452" w:type="dxa"/>
            <w:tcBorders>
              <w:top w:val="single" w:sz="4" w:space="0" w:color="auto"/>
              <w:left w:val="single" w:sz="4" w:space="0" w:color="auto"/>
              <w:bottom w:val="nil"/>
              <w:right w:val="single" w:sz="4" w:space="0" w:color="auto"/>
            </w:tcBorders>
            <w:tcMar>
              <w:right w:w="38" w:type="dxa"/>
            </w:tcMar>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r>
      <w:tr w:rsidR="00211123" w:rsidRPr="00211123">
        <w:tblPrEx>
          <w:tblCellMar>
            <w:left w:w="38" w:type="dxa"/>
          </w:tblCellMar>
        </w:tblPrEx>
        <w:trPr>
          <w:trHeight w:val="255"/>
        </w:trPr>
        <w:tc>
          <w:tcPr>
            <w:tcW w:w="5533" w:type="dxa"/>
            <w:tcBorders>
              <w:top w:val="nil"/>
              <w:left w:val="single" w:sz="4" w:space="0" w:color="auto"/>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6"/>
                <w:szCs w:val="16"/>
              </w:rPr>
            </w:pPr>
            <w:r w:rsidRPr="00211123">
              <w:rPr>
                <w:rFonts w:ascii="Arial" w:hAnsi="Arial" w:cs="Arial"/>
                <w:sz w:val="16"/>
                <w:szCs w:val="16"/>
              </w:rPr>
              <w:t>Proventi straordinari</w:t>
            </w:r>
          </w:p>
        </w:tc>
        <w:tc>
          <w:tcPr>
            <w:tcW w:w="1440" w:type="dxa"/>
            <w:tcBorders>
              <w:top w:val="nil"/>
              <w:left w:val="single" w:sz="4" w:space="0" w:color="auto"/>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63.884,07</w:t>
            </w:r>
          </w:p>
        </w:tc>
        <w:tc>
          <w:tcPr>
            <w:tcW w:w="1455" w:type="dxa"/>
            <w:tcBorders>
              <w:top w:val="nil"/>
              <w:left w:val="single" w:sz="4" w:space="0" w:color="auto"/>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52" w:type="dxa"/>
            <w:tcBorders>
              <w:top w:val="nil"/>
              <w:left w:val="single" w:sz="4" w:space="0" w:color="auto"/>
              <w:bottom w:val="nil"/>
              <w:right w:val="single" w:sz="4" w:space="0" w:color="auto"/>
            </w:tcBorders>
            <w:tcMar>
              <w:right w:w="38" w:type="dxa"/>
            </w:tcMar>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63.884,07</w:t>
            </w:r>
          </w:p>
        </w:tc>
      </w:tr>
      <w:tr w:rsidR="00211123" w:rsidRPr="00211123">
        <w:tblPrEx>
          <w:tblCellMar>
            <w:left w:w="38" w:type="dxa"/>
          </w:tblCellMar>
        </w:tblPrEx>
        <w:trPr>
          <w:trHeight w:val="255"/>
        </w:trPr>
        <w:tc>
          <w:tcPr>
            <w:tcW w:w="5533" w:type="dxa"/>
            <w:tcBorders>
              <w:top w:val="nil"/>
              <w:left w:val="single" w:sz="4" w:space="0" w:color="auto"/>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6"/>
                <w:szCs w:val="16"/>
              </w:rPr>
            </w:pPr>
            <w:r w:rsidRPr="00211123">
              <w:rPr>
                <w:rFonts w:ascii="Arial" w:hAnsi="Arial" w:cs="Arial"/>
                <w:sz w:val="16"/>
                <w:szCs w:val="16"/>
              </w:rPr>
              <w:t>Oneri straordinari</w:t>
            </w:r>
          </w:p>
        </w:tc>
        <w:tc>
          <w:tcPr>
            <w:tcW w:w="1440" w:type="dxa"/>
            <w:tcBorders>
              <w:top w:val="nil"/>
              <w:left w:val="single" w:sz="4" w:space="0" w:color="auto"/>
              <w:bottom w:val="single" w:sz="4" w:space="0" w:color="auto"/>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1.094.672,15</w:t>
            </w:r>
          </w:p>
        </w:tc>
        <w:tc>
          <w:tcPr>
            <w:tcW w:w="1455" w:type="dxa"/>
            <w:tcBorders>
              <w:top w:val="nil"/>
              <w:left w:val="single" w:sz="4" w:space="0" w:color="auto"/>
              <w:bottom w:val="single" w:sz="4" w:space="0" w:color="auto"/>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52" w:type="dxa"/>
            <w:tcBorders>
              <w:top w:val="nil"/>
              <w:left w:val="single" w:sz="4" w:space="0" w:color="auto"/>
              <w:bottom w:val="single" w:sz="4" w:space="0" w:color="auto"/>
              <w:right w:val="single" w:sz="4" w:space="0" w:color="auto"/>
            </w:tcBorders>
            <w:tcMar>
              <w:right w:w="38" w:type="dxa"/>
            </w:tcMar>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1.094.672,15</w:t>
            </w:r>
          </w:p>
        </w:tc>
      </w:tr>
      <w:tr w:rsidR="00211123" w:rsidRPr="00211123">
        <w:tblPrEx>
          <w:tblCellMar>
            <w:left w:w="38" w:type="dxa"/>
            <w:right w:w="38" w:type="dxa"/>
          </w:tblCellMar>
        </w:tblPrEx>
        <w:trPr>
          <w:trHeight w:val="270"/>
        </w:trPr>
        <w:tc>
          <w:tcPr>
            <w:tcW w:w="5533"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Totale (E)</w:t>
            </w:r>
          </w:p>
        </w:tc>
        <w:tc>
          <w:tcPr>
            <w:tcW w:w="1440"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-1.030.788,08</w:t>
            </w:r>
          </w:p>
        </w:tc>
        <w:tc>
          <w:tcPr>
            <w:tcW w:w="1455"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0,00</w:t>
            </w:r>
          </w:p>
        </w:tc>
        <w:tc>
          <w:tcPr>
            <w:tcW w:w="1452"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-1.030.788,08</w:t>
            </w:r>
          </w:p>
        </w:tc>
      </w:tr>
      <w:tr w:rsidR="00211123" w:rsidRPr="00211123">
        <w:tblPrEx>
          <w:tblCellMar>
            <w:left w:w="38" w:type="dxa"/>
            <w:right w:w="38" w:type="dxa"/>
          </w:tblCellMar>
        </w:tblPrEx>
        <w:trPr>
          <w:trHeight w:val="270"/>
        </w:trPr>
        <w:tc>
          <w:tcPr>
            <w:tcW w:w="5533"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RISULTATO PRIMA DELLE IMPOSTE (A-B+-C+-D+-E)</w:t>
            </w:r>
          </w:p>
        </w:tc>
        <w:tc>
          <w:tcPr>
            <w:tcW w:w="1440"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57.712,59</w:t>
            </w:r>
          </w:p>
        </w:tc>
        <w:tc>
          <w:tcPr>
            <w:tcW w:w="1455"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0,00</w:t>
            </w:r>
          </w:p>
        </w:tc>
        <w:tc>
          <w:tcPr>
            <w:tcW w:w="1452"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57.712,59</w:t>
            </w:r>
          </w:p>
        </w:tc>
      </w:tr>
      <w:tr w:rsidR="00211123" w:rsidRPr="00211123">
        <w:tblPrEx>
          <w:tblCellMar>
            <w:left w:w="38" w:type="dxa"/>
            <w:right w:w="38" w:type="dxa"/>
          </w:tblCellMar>
        </w:tblPrEx>
        <w:tc>
          <w:tcPr>
            <w:tcW w:w="5533"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6"/>
                <w:szCs w:val="16"/>
              </w:rPr>
            </w:pPr>
            <w:r w:rsidRPr="00211123">
              <w:rPr>
                <w:rFonts w:ascii="Arial" w:hAnsi="Arial" w:cs="Arial"/>
                <w:sz w:val="16"/>
                <w:szCs w:val="16"/>
              </w:rPr>
              <w:t>Imposte</w:t>
            </w:r>
          </w:p>
        </w:tc>
        <w:tc>
          <w:tcPr>
            <w:tcW w:w="1440"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217.917,26</w:t>
            </w:r>
          </w:p>
        </w:tc>
        <w:tc>
          <w:tcPr>
            <w:tcW w:w="1455"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52"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217.917,26</w:t>
            </w:r>
          </w:p>
        </w:tc>
      </w:tr>
      <w:tr w:rsidR="00211123" w:rsidRPr="00211123">
        <w:tblPrEx>
          <w:tblCellMar>
            <w:left w:w="38" w:type="dxa"/>
            <w:right w:w="38" w:type="dxa"/>
          </w:tblCellMar>
        </w:tblPrEx>
        <w:tc>
          <w:tcPr>
            <w:tcW w:w="5533" w:type="dxa"/>
            <w:tcBorders>
              <w:top w:val="nil"/>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16"/>
                <w:szCs w:val="16"/>
              </w:rPr>
            </w:pPr>
            <w:r w:rsidRPr="00211123">
              <w:rPr>
                <w:rFonts w:ascii="Arial" w:hAnsi="Arial" w:cs="Arial"/>
                <w:b/>
                <w:bCs/>
                <w:sz w:val="16"/>
                <w:szCs w:val="16"/>
              </w:rPr>
              <w:t>RISULTATO DELL'ESERCIZIO</w:t>
            </w:r>
          </w:p>
        </w:tc>
        <w:tc>
          <w:tcPr>
            <w:tcW w:w="1440"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-160.204,67</w:t>
            </w:r>
          </w:p>
        </w:tc>
        <w:tc>
          <w:tcPr>
            <w:tcW w:w="1455"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0,00</w:t>
            </w:r>
          </w:p>
        </w:tc>
        <w:tc>
          <w:tcPr>
            <w:tcW w:w="1452"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-160.204,67</w:t>
            </w:r>
          </w:p>
        </w:tc>
      </w:tr>
    </w:tbl>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Gestione operativa</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Il conto economico consolidato 2016 evidenzia componenti positivi della gestione complessivamente attestati al valore di Euro</w:t>
      </w:r>
      <w:r w:rsidR="00E724C8">
        <w:rPr>
          <w:rFonts w:ascii="Arial" w:hAnsi="Arial" w:cs="Arial"/>
          <w:sz w:val="24"/>
          <w:szCs w:val="24"/>
        </w:rPr>
        <w:t xml:space="preserve"> 10.401.359</w:t>
      </w:r>
      <w:r w:rsidR="00C6624A">
        <w:rPr>
          <w:rFonts w:ascii="Arial" w:hAnsi="Arial" w:cs="Arial"/>
          <w:sz w:val="24"/>
          <w:szCs w:val="24"/>
        </w:rPr>
        <w:t>,00</w:t>
      </w:r>
      <w:r w:rsidR="00E724C8">
        <w:rPr>
          <w:rFonts w:ascii="Arial" w:hAnsi="Arial" w:cs="Arial"/>
          <w:sz w:val="24"/>
          <w:szCs w:val="24"/>
        </w:rPr>
        <w:t>.</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Tali risultati sono principalmente riferibili ai ricavi e proventi del nostro ente integrati delle risultanze rivenienti dalla gestione Organismi e Società partecipate per complessive Euro</w:t>
      </w:r>
      <w:r w:rsidR="00E724C8">
        <w:rPr>
          <w:rFonts w:ascii="Arial" w:hAnsi="Arial" w:cs="Arial"/>
          <w:sz w:val="24"/>
          <w:szCs w:val="24"/>
        </w:rPr>
        <w:t xml:space="preserve"> 41.809</w:t>
      </w:r>
      <w:r w:rsidR="00C6624A">
        <w:rPr>
          <w:rFonts w:ascii="Arial" w:hAnsi="Arial" w:cs="Arial"/>
          <w:sz w:val="24"/>
          <w:szCs w:val="24"/>
        </w:rPr>
        <w:t>,00</w:t>
      </w:r>
      <w:r w:rsidR="00E724C8">
        <w:rPr>
          <w:rFonts w:ascii="Arial" w:hAnsi="Arial" w:cs="Arial"/>
          <w:sz w:val="24"/>
          <w:szCs w:val="24"/>
        </w:rPr>
        <w:t>.</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lastRenderedPageBreak/>
        <w:t>A riguardo si evidenzia che:</w:t>
      </w:r>
    </w:p>
    <w:p w:rsidR="00211123" w:rsidRPr="00C6624A"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C6624A">
        <w:rPr>
          <w:rFonts w:ascii="Arial" w:hAnsi="Arial" w:cs="Arial"/>
          <w:sz w:val="24"/>
          <w:szCs w:val="24"/>
        </w:rPr>
        <w:t xml:space="preserve">il fatturato 2016 della partecipata </w:t>
      </w:r>
      <w:r w:rsidR="00E724C8" w:rsidRPr="00C6624A">
        <w:rPr>
          <w:rFonts w:ascii="Arial" w:hAnsi="Arial" w:cs="Arial"/>
          <w:sz w:val="24"/>
          <w:szCs w:val="24"/>
        </w:rPr>
        <w:t>Anacapri Servizi s.r.l.,</w:t>
      </w:r>
      <w:r w:rsidRPr="00C6624A">
        <w:rPr>
          <w:rFonts w:ascii="Arial" w:hAnsi="Arial" w:cs="Arial"/>
          <w:sz w:val="24"/>
          <w:szCs w:val="24"/>
        </w:rPr>
        <w:t xml:space="preserve"> ammontante ad Euro </w:t>
      </w:r>
      <w:r w:rsidR="00E724C8" w:rsidRPr="00C6624A">
        <w:rPr>
          <w:rFonts w:ascii="Arial" w:hAnsi="Arial" w:cs="Arial"/>
          <w:sz w:val="24"/>
          <w:szCs w:val="24"/>
        </w:rPr>
        <w:t>2.727.044</w:t>
      </w:r>
      <w:r w:rsidR="00C6624A" w:rsidRPr="00C6624A">
        <w:rPr>
          <w:rFonts w:ascii="Arial" w:hAnsi="Arial" w:cs="Arial"/>
          <w:sz w:val="24"/>
          <w:szCs w:val="24"/>
        </w:rPr>
        <w:t>,00</w:t>
      </w:r>
      <w:r w:rsidRPr="00C6624A">
        <w:rPr>
          <w:rFonts w:ascii="Arial" w:hAnsi="Arial" w:cs="Arial"/>
          <w:sz w:val="24"/>
          <w:szCs w:val="24"/>
        </w:rPr>
        <w:t xml:space="preserve">, è stato realizzato in house </w:t>
      </w:r>
      <w:r w:rsidR="00C6624A" w:rsidRPr="00C6624A">
        <w:rPr>
          <w:rFonts w:ascii="Arial" w:hAnsi="Arial" w:cs="Arial"/>
          <w:sz w:val="24"/>
          <w:szCs w:val="24"/>
        </w:rPr>
        <w:t>per il servizio di igiene ambientale e di pulizia della casa comunale</w:t>
      </w:r>
      <w:r w:rsidRPr="00C6624A">
        <w:rPr>
          <w:rFonts w:ascii="Arial" w:hAnsi="Arial" w:cs="Arial"/>
          <w:sz w:val="24"/>
          <w:szCs w:val="24"/>
        </w:rPr>
        <w:t xml:space="preserve">. </w:t>
      </w:r>
      <w:r w:rsidR="00C6624A" w:rsidRPr="00C6624A">
        <w:rPr>
          <w:rFonts w:ascii="Arial" w:hAnsi="Arial" w:cs="Arial"/>
          <w:sz w:val="24"/>
          <w:szCs w:val="24"/>
        </w:rPr>
        <w:t>L’Anacapri Servizi s.r.l. ha</w:t>
      </w:r>
      <w:r w:rsidRPr="00C6624A">
        <w:rPr>
          <w:rFonts w:ascii="Arial" w:hAnsi="Arial" w:cs="Arial"/>
          <w:sz w:val="24"/>
          <w:szCs w:val="24"/>
        </w:rPr>
        <w:t xml:space="preserve"> registra</w:t>
      </w:r>
      <w:r w:rsidR="00C6624A" w:rsidRPr="00C6624A">
        <w:rPr>
          <w:rFonts w:ascii="Arial" w:hAnsi="Arial" w:cs="Arial"/>
          <w:sz w:val="24"/>
          <w:szCs w:val="24"/>
        </w:rPr>
        <w:t>to</w:t>
      </w:r>
      <w:r w:rsidRPr="00C6624A">
        <w:rPr>
          <w:rFonts w:ascii="Arial" w:hAnsi="Arial" w:cs="Arial"/>
          <w:sz w:val="24"/>
          <w:szCs w:val="24"/>
        </w:rPr>
        <w:t xml:space="preserve"> componenti positivi di reddito per Euro </w:t>
      </w:r>
      <w:r w:rsidR="00C6624A" w:rsidRPr="00C6624A">
        <w:rPr>
          <w:rFonts w:ascii="Arial" w:hAnsi="Arial" w:cs="Arial"/>
          <w:sz w:val="24"/>
          <w:szCs w:val="24"/>
        </w:rPr>
        <w:t>41.809</w:t>
      </w:r>
      <w:r w:rsidRPr="00C6624A">
        <w:rPr>
          <w:rFonts w:ascii="Arial" w:hAnsi="Arial" w:cs="Arial"/>
          <w:sz w:val="24"/>
          <w:szCs w:val="24"/>
        </w:rPr>
        <w:t>,00, rivenienti</w:t>
      </w:r>
      <w:r w:rsidR="00C6624A" w:rsidRPr="00C6624A">
        <w:rPr>
          <w:rFonts w:ascii="Arial" w:hAnsi="Arial" w:cs="Arial"/>
          <w:sz w:val="24"/>
          <w:szCs w:val="24"/>
        </w:rPr>
        <w:t xml:space="preserve"> principalmente da ricavi per la raccolta differenziata e servizi all’utenza.</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Tali risultati hanno permesso la copertura dei componenti negativi della gestione tipica, determinando un margine</w:t>
      </w:r>
      <w:r w:rsidR="00C6624A">
        <w:rPr>
          <w:rFonts w:ascii="Arial" w:hAnsi="Arial" w:cs="Arial"/>
          <w:sz w:val="24"/>
          <w:szCs w:val="24"/>
        </w:rPr>
        <w:t xml:space="preserve"> positivo</w:t>
      </w:r>
      <w:r w:rsidRPr="00211123">
        <w:rPr>
          <w:rFonts w:ascii="Arial" w:hAnsi="Arial" w:cs="Arial"/>
          <w:sz w:val="24"/>
          <w:szCs w:val="24"/>
        </w:rPr>
        <w:t xml:space="preserve"> di Euro</w:t>
      </w:r>
      <w:r w:rsidR="00C6624A">
        <w:rPr>
          <w:rFonts w:ascii="Arial" w:hAnsi="Arial" w:cs="Arial"/>
          <w:sz w:val="24"/>
          <w:szCs w:val="24"/>
        </w:rPr>
        <w:t xml:space="preserve"> 1.378.918,00</w:t>
      </w:r>
      <w:r w:rsidRPr="00211123">
        <w:rPr>
          <w:rFonts w:ascii="Arial" w:hAnsi="Arial" w:cs="Arial"/>
          <w:sz w:val="24"/>
          <w:szCs w:val="24"/>
        </w:rPr>
        <w:t xml:space="preserve"> (A-B).</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Gestione finanziaria</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La gestione finanziaria ha contribuito al risultato della gestione per Euro</w:t>
      </w:r>
      <w:r w:rsidR="00C6624A">
        <w:rPr>
          <w:rFonts w:ascii="Arial" w:hAnsi="Arial" w:cs="Arial"/>
          <w:sz w:val="24"/>
          <w:szCs w:val="24"/>
        </w:rPr>
        <w:t xml:space="preserve"> -290.418,00</w:t>
      </w:r>
      <w:r w:rsidRPr="00211123">
        <w:rPr>
          <w:rFonts w:ascii="Arial" w:hAnsi="Arial" w:cs="Arial"/>
          <w:sz w:val="24"/>
          <w:szCs w:val="24"/>
        </w:rPr>
        <w:t>, evidenziato dalla differenza tra proventi ed oneri finanziari di gruppo (totale C).</w:t>
      </w:r>
    </w:p>
    <w:p w:rsidR="00C6624A"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A riguardo</w:t>
      </w:r>
      <w:r w:rsidR="00C6624A">
        <w:rPr>
          <w:rFonts w:ascii="Arial" w:hAnsi="Arial" w:cs="Arial"/>
          <w:sz w:val="24"/>
          <w:szCs w:val="24"/>
        </w:rPr>
        <w:t xml:space="preserve"> occorre precisare che si tratta quasi esclusivamente di interessi passivi facenti carico al bilancio del Comune di Anacapri. La società Anacapri Servizi ha inciso nel</w:t>
      </w:r>
      <w:r w:rsidRPr="00211123">
        <w:rPr>
          <w:rFonts w:ascii="Arial" w:hAnsi="Arial" w:cs="Arial"/>
          <w:sz w:val="24"/>
          <w:szCs w:val="24"/>
        </w:rPr>
        <w:t xml:space="preserve"> risultato consolidato</w:t>
      </w:r>
      <w:r w:rsidR="00C6624A">
        <w:rPr>
          <w:rFonts w:ascii="Arial" w:hAnsi="Arial" w:cs="Arial"/>
          <w:sz w:val="24"/>
          <w:szCs w:val="24"/>
        </w:rPr>
        <w:t xml:space="preserve"> per gli oneri finanziari solo per Euro 1.909,00.</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Rettifiche di valore</w:t>
      </w:r>
    </w:p>
    <w:p w:rsidR="00C6624A"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Le rettifiche di valore, per effetto delle rivalutazioni e svalutazioni del valore degli </w:t>
      </w:r>
      <w:proofErr w:type="spellStart"/>
      <w:r w:rsidRPr="00211123">
        <w:rPr>
          <w:rFonts w:ascii="Arial" w:hAnsi="Arial" w:cs="Arial"/>
          <w:sz w:val="24"/>
          <w:szCs w:val="24"/>
        </w:rPr>
        <w:t>asset</w:t>
      </w:r>
      <w:proofErr w:type="spellEnd"/>
      <w:r w:rsidRPr="00211123">
        <w:rPr>
          <w:rFonts w:ascii="Arial" w:hAnsi="Arial" w:cs="Arial"/>
          <w:sz w:val="24"/>
          <w:szCs w:val="24"/>
        </w:rPr>
        <w:t xml:space="preserve"> patrimoniale operate nel corso del 2016, si attestano a complessive Euro </w:t>
      </w:r>
      <w:r w:rsidR="00C6624A">
        <w:rPr>
          <w:rFonts w:ascii="Arial" w:hAnsi="Arial" w:cs="Arial"/>
          <w:sz w:val="24"/>
          <w:szCs w:val="24"/>
        </w:rPr>
        <w:t>zero</w:t>
      </w:r>
      <w:r w:rsidRPr="00211123">
        <w:rPr>
          <w:rFonts w:ascii="Arial" w:hAnsi="Arial" w:cs="Arial"/>
          <w:sz w:val="24"/>
          <w:szCs w:val="24"/>
        </w:rPr>
        <w:t xml:space="preserve"> (totale D)</w:t>
      </w:r>
      <w:r w:rsidR="00C6624A">
        <w:rPr>
          <w:rFonts w:ascii="Arial" w:hAnsi="Arial" w:cs="Arial"/>
          <w:sz w:val="24"/>
          <w:szCs w:val="24"/>
        </w:rPr>
        <w:t>.</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Proventi ed Oneri straordinari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Come è noto, il contributo della gestione straordinaria al risultato consolidato dell’esercizio 2016, è misurato dal totale della sezione “E) Proventi ed oneri straordinari” del conto Economico, per Euro</w:t>
      </w:r>
      <w:r w:rsidR="00C6624A">
        <w:rPr>
          <w:rFonts w:ascii="Arial" w:hAnsi="Arial" w:cs="Arial"/>
          <w:sz w:val="24"/>
          <w:szCs w:val="24"/>
        </w:rPr>
        <w:t xml:space="preserve"> -1.030.788,00</w:t>
      </w:r>
      <w:r w:rsidRPr="00211123">
        <w:rPr>
          <w:rFonts w:ascii="Arial" w:hAnsi="Arial" w:cs="Arial"/>
          <w:sz w:val="24"/>
          <w:szCs w:val="24"/>
        </w:rPr>
        <w:t>.</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A riguardo si evidenzia che tale saldo è riconducibile es</w:t>
      </w:r>
      <w:r w:rsidR="00C6624A">
        <w:rPr>
          <w:rFonts w:ascii="Arial" w:hAnsi="Arial" w:cs="Arial"/>
          <w:sz w:val="24"/>
          <w:szCs w:val="24"/>
        </w:rPr>
        <w:t>clusivamente</w:t>
      </w:r>
      <w:r w:rsidRPr="00211123">
        <w:rPr>
          <w:rFonts w:ascii="Arial" w:hAnsi="Arial" w:cs="Arial"/>
          <w:sz w:val="24"/>
          <w:szCs w:val="24"/>
        </w:rPr>
        <w:t xml:space="preserve"> alla gestione interna del nostro Ente, come già evidenziato in sede di approvazione del Rendiconto 2016</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Marginalità e Risultato d’esercizio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La gestione consolidata del 2016 chiude con un</w:t>
      </w:r>
      <w:r w:rsidR="00C6624A">
        <w:rPr>
          <w:rFonts w:ascii="Arial" w:hAnsi="Arial" w:cs="Arial"/>
          <w:sz w:val="24"/>
          <w:szCs w:val="24"/>
        </w:rPr>
        <w:t xml:space="preserve">a </w:t>
      </w:r>
      <w:r w:rsidRPr="00211123">
        <w:rPr>
          <w:rFonts w:ascii="Arial" w:hAnsi="Arial" w:cs="Arial"/>
          <w:sz w:val="24"/>
          <w:szCs w:val="24"/>
        </w:rPr>
        <w:t>perdita di Euro</w:t>
      </w:r>
      <w:r w:rsidR="00C6624A">
        <w:rPr>
          <w:rFonts w:ascii="Arial" w:hAnsi="Arial" w:cs="Arial"/>
          <w:sz w:val="24"/>
          <w:szCs w:val="24"/>
        </w:rPr>
        <w:t xml:space="preserve"> 160.205,00</w:t>
      </w:r>
      <w:r w:rsidRPr="00211123">
        <w:rPr>
          <w:rFonts w:ascii="Arial" w:hAnsi="Arial" w:cs="Arial"/>
          <w:color w:val="FF0000"/>
          <w:sz w:val="24"/>
          <w:szCs w:val="24"/>
        </w:rPr>
        <w:t xml:space="preserve"> </w:t>
      </w:r>
      <w:r w:rsidRPr="00211123">
        <w:rPr>
          <w:rFonts w:ascii="Arial" w:hAnsi="Arial" w:cs="Arial"/>
          <w:sz w:val="24"/>
          <w:szCs w:val="24"/>
        </w:rPr>
        <w:t>per effetto  dell’</w:t>
      </w:r>
      <w:r w:rsidR="009B0C2C">
        <w:rPr>
          <w:rFonts w:ascii="Arial" w:hAnsi="Arial" w:cs="Arial"/>
          <w:sz w:val="24"/>
          <w:szCs w:val="24"/>
        </w:rPr>
        <w:t>utile di esercizio registrato dalla società Anacapri Servizi s.r.l. di Euro 37.138,00.</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sz w:val="24"/>
          <w:szCs w:val="24"/>
        </w:rPr>
      </w:pPr>
      <w:r w:rsidRPr="00211123">
        <w:rPr>
          <w:rFonts w:ascii="Arial" w:hAnsi="Arial" w:cs="Arial"/>
          <w:b/>
          <w:bCs/>
          <w:sz w:val="24"/>
          <w:szCs w:val="24"/>
        </w:rPr>
        <w:t>1.2 Analisi dei principali dati patrimoniali e finanziari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L</w:t>
      </w:r>
      <w:r w:rsidR="009B0C2C">
        <w:rPr>
          <w:rFonts w:ascii="Arial" w:hAnsi="Arial" w:cs="Arial"/>
          <w:sz w:val="24"/>
          <w:szCs w:val="24"/>
        </w:rPr>
        <w:t xml:space="preserve">o stato patrimoniale del Gruppo </w:t>
      </w:r>
      <w:r w:rsidRPr="00211123">
        <w:rPr>
          <w:rFonts w:ascii="Arial" w:hAnsi="Arial" w:cs="Arial"/>
          <w:sz w:val="24"/>
          <w:szCs w:val="24"/>
        </w:rPr>
        <w:t>è il seguente (in Euro):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tbl>
      <w:tblPr>
        <w:tblW w:w="0" w:type="auto"/>
        <w:tblLayout w:type="fixed"/>
        <w:tblCellMar>
          <w:top w:w="28" w:type="dxa"/>
          <w:left w:w="28" w:type="dxa"/>
          <w:bottom w:w="28" w:type="dxa"/>
          <w:right w:w="38" w:type="dxa"/>
        </w:tblCellMar>
        <w:tblLook w:val="0000"/>
      </w:tblPr>
      <w:tblGrid>
        <w:gridCol w:w="4738"/>
        <w:gridCol w:w="1455"/>
        <w:gridCol w:w="1470"/>
        <w:gridCol w:w="1457"/>
      </w:tblGrid>
      <w:tr w:rsidR="00211123" w:rsidRPr="00211123">
        <w:tc>
          <w:tcPr>
            <w:tcW w:w="4738" w:type="dxa"/>
            <w:tcBorders>
              <w:top w:val="nil"/>
              <w:left w:val="nil"/>
              <w:bottom w:val="single" w:sz="6"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16"/>
                <w:szCs w:val="16"/>
              </w:rPr>
            </w:pPr>
            <w:r w:rsidRPr="00211123">
              <w:rPr>
                <w:rFonts w:ascii="Arial" w:hAnsi="Arial" w:cs="Arial"/>
                <w:b/>
                <w:bCs/>
                <w:sz w:val="16"/>
                <w:szCs w:val="16"/>
              </w:rPr>
              <w:t>STATO PATRIMONIALE CONSOLIDATO (ATTIVO)</w:t>
            </w:r>
          </w:p>
        </w:tc>
        <w:tc>
          <w:tcPr>
            <w:tcW w:w="1455" w:type="dxa"/>
            <w:tcBorders>
              <w:top w:val="single" w:sz="4" w:space="0" w:color="auto"/>
              <w:left w:val="single" w:sz="4" w:space="0" w:color="auto"/>
              <w:bottom w:val="single" w:sz="6" w:space="0" w:color="auto"/>
              <w:right w:val="single" w:sz="4" w:space="0" w:color="auto"/>
            </w:tcBorders>
            <w:shd w:val="clear" w:color="auto" w:fill="E6E6E6"/>
            <w:tcMar>
              <w:left w:w="38" w:type="dxa"/>
            </w:tcMar>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2016</w:t>
            </w:r>
          </w:p>
        </w:tc>
        <w:tc>
          <w:tcPr>
            <w:tcW w:w="1470" w:type="dxa"/>
            <w:tcBorders>
              <w:top w:val="single" w:sz="4" w:space="0" w:color="auto"/>
              <w:left w:val="single" w:sz="4" w:space="0" w:color="auto"/>
              <w:bottom w:val="single" w:sz="6" w:space="0" w:color="auto"/>
              <w:right w:val="single" w:sz="4" w:space="0" w:color="auto"/>
            </w:tcBorders>
            <w:shd w:val="clear" w:color="auto" w:fill="E6E6E6"/>
            <w:tcMar>
              <w:left w:w="38" w:type="dxa"/>
            </w:tcMar>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2015</w:t>
            </w:r>
          </w:p>
        </w:tc>
        <w:tc>
          <w:tcPr>
            <w:tcW w:w="1457" w:type="dxa"/>
            <w:tcBorders>
              <w:top w:val="single" w:sz="4" w:space="0" w:color="auto"/>
              <w:left w:val="single" w:sz="4" w:space="0" w:color="auto"/>
              <w:bottom w:val="single" w:sz="6" w:space="0" w:color="auto"/>
              <w:right w:val="single" w:sz="4" w:space="0" w:color="auto"/>
            </w:tcBorders>
            <w:shd w:val="clear" w:color="auto" w:fill="E6E6E6"/>
            <w:tcMar>
              <w:left w:w="38" w:type="dxa"/>
            </w:tcMar>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Variazioni</w:t>
            </w:r>
          </w:p>
        </w:tc>
      </w:tr>
      <w:tr w:rsidR="00211123" w:rsidRPr="00211123">
        <w:tblPrEx>
          <w:tblCellMar>
            <w:left w:w="38" w:type="dxa"/>
          </w:tblCellMar>
        </w:tblPrEx>
        <w:tc>
          <w:tcPr>
            <w:tcW w:w="4738" w:type="dxa"/>
            <w:tcBorders>
              <w:top w:val="single" w:sz="6" w:space="0" w:color="auto"/>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16"/>
                <w:szCs w:val="16"/>
              </w:rPr>
            </w:pPr>
            <w:r w:rsidRPr="00211123">
              <w:rPr>
                <w:rFonts w:ascii="Arial" w:hAnsi="Arial" w:cs="Arial"/>
                <w:b/>
                <w:bCs/>
                <w:sz w:val="16"/>
                <w:szCs w:val="16"/>
              </w:rPr>
              <w:t xml:space="preserve">A CREDITI vs. LO STATO ED ALTRE </w:t>
            </w:r>
            <w:proofErr w:type="spellStart"/>
            <w:r w:rsidRPr="00211123">
              <w:rPr>
                <w:rFonts w:ascii="Arial" w:hAnsi="Arial" w:cs="Arial"/>
                <w:b/>
                <w:bCs/>
                <w:sz w:val="16"/>
                <w:szCs w:val="16"/>
              </w:rPr>
              <w:t>AA.PP</w:t>
            </w:r>
            <w:proofErr w:type="spellEnd"/>
            <w:r w:rsidRPr="00211123">
              <w:rPr>
                <w:rFonts w:ascii="Arial" w:hAnsi="Arial" w:cs="Arial"/>
                <w:b/>
                <w:bCs/>
                <w:sz w:val="16"/>
                <w:szCs w:val="16"/>
              </w:rPr>
              <w:t>.</w:t>
            </w:r>
          </w:p>
        </w:tc>
        <w:tc>
          <w:tcPr>
            <w:tcW w:w="1455" w:type="dxa"/>
            <w:tcBorders>
              <w:top w:val="single" w:sz="6"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70" w:type="dxa"/>
            <w:tcBorders>
              <w:top w:val="single" w:sz="6"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57" w:type="dxa"/>
            <w:tcBorders>
              <w:top w:val="single" w:sz="6"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Totale (A)</w:t>
            </w:r>
          </w:p>
        </w:tc>
        <w:tc>
          <w:tcPr>
            <w:tcW w:w="1455"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0,00</w:t>
            </w:r>
          </w:p>
        </w:tc>
        <w:tc>
          <w:tcPr>
            <w:tcW w:w="1470"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0,00</w:t>
            </w:r>
          </w:p>
        </w:tc>
        <w:tc>
          <w:tcPr>
            <w:tcW w:w="1457"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0,00</w:t>
            </w: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16"/>
                <w:szCs w:val="16"/>
              </w:rPr>
            </w:pPr>
            <w:r w:rsidRPr="00211123">
              <w:rPr>
                <w:rFonts w:ascii="Arial" w:hAnsi="Arial" w:cs="Arial"/>
                <w:b/>
                <w:bCs/>
                <w:sz w:val="16"/>
                <w:szCs w:val="16"/>
              </w:rPr>
              <w:t>B IMMOBILIZZAZIONI</w:t>
            </w:r>
          </w:p>
        </w:tc>
        <w:tc>
          <w:tcPr>
            <w:tcW w:w="1455" w:type="dxa"/>
            <w:tcBorders>
              <w:top w:val="single" w:sz="4" w:space="0" w:color="auto"/>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c>
          <w:tcPr>
            <w:tcW w:w="1470" w:type="dxa"/>
            <w:tcBorders>
              <w:top w:val="single" w:sz="4" w:space="0" w:color="auto"/>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c>
          <w:tcPr>
            <w:tcW w:w="1457" w:type="dxa"/>
            <w:tcBorders>
              <w:top w:val="single" w:sz="4" w:space="0" w:color="auto"/>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6"/>
                <w:szCs w:val="16"/>
              </w:rPr>
            </w:pPr>
            <w:r w:rsidRPr="00211123">
              <w:rPr>
                <w:rFonts w:ascii="Arial" w:hAnsi="Arial" w:cs="Arial"/>
                <w:sz w:val="16"/>
                <w:szCs w:val="16"/>
              </w:rPr>
              <w:t>Immobilizzazioni immateriali</w:t>
            </w:r>
          </w:p>
        </w:tc>
        <w:tc>
          <w:tcPr>
            <w:tcW w:w="1455" w:type="dxa"/>
            <w:tcBorders>
              <w:top w:val="nil"/>
              <w:left w:val="single" w:sz="4" w:space="0" w:color="auto"/>
              <w:bottom w:val="nil"/>
              <w:right w:val="single" w:sz="4" w:space="0" w:color="auto"/>
            </w:tcBorders>
            <w:vAlign w:val="center"/>
          </w:tcPr>
          <w:p w:rsidR="00211123" w:rsidRPr="00211123" w:rsidRDefault="00211123" w:rsidP="004F4A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9</w:t>
            </w:r>
            <w:r w:rsidR="004F4AAB">
              <w:rPr>
                <w:rFonts w:ascii="Arial" w:hAnsi="Arial" w:cs="Arial"/>
                <w:sz w:val="16"/>
                <w:szCs w:val="16"/>
              </w:rPr>
              <w:t>9.282,47</w:t>
            </w:r>
          </w:p>
        </w:tc>
        <w:tc>
          <w:tcPr>
            <w:tcW w:w="1470"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57"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93.510,47</w:t>
            </w: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6"/>
                <w:szCs w:val="16"/>
              </w:rPr>
            </w:pPr>
            <w:r w:rsidRPr="00211123">
              <w:rPr>
                <w:rFonts w:ascii="Arial" w:hAnsi="Arial" w:cs="Arial"/>
                <w:sz w:val="16"/>
                <w:szCs w:val="16"/>
              </w:rPr>
              <w:t>Immobilizzazioni materiali</w:t>
            </w:r>
          </w:p>
        </w:tc>
        <w:tc>
          <w:tcPr>
            <w:tcW w:w="1455"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43.431.105,66</w:t>
            </w:r>
          </w:p>
        </w:tc>
        <w:tc>
          <w:tcPr>
            <w:tcW w:w="1470"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57"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43.431.105,66</w:t>
            </w: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6"/>
                <w:szCs w:val="16"/>
              </w:rPr>
            </w:pPr>
            <w:r w:rsidRPr="00211123">
              <w:rPr>
                <w:rFonts w:ascii="Arial" w:hAnsi="Arial" w:cs="Arial"/>
                <w:sz w:val="16"/>
                <w:szCs w:val="16"/>
              </w:rPr>
              <w:t>Immobilizzazioni finanziarie</w:t>
            </w:r>
          </w:p>
        </w:tc>
        <w:tc>
          <w:tcPr>
            <w:tcW w:w="1455" w:type="dxa"/>
            <w:tcBorders>
              <w:top w:val="nil"/>
              <w:left w:val="single" w:sz="4" w:space="0" w:color="auto"/>
              <w:bottom w:val="single" w:sz="4" w:space="0" w:color="auto"/>
              <w:right w:val="single" w:sz="4" w:space="0" w:color="auto"/>
            </w:tcBorders>
            <w:vAlign w:val="center"/>
          </w:tcPr>
          <w:p w:rsidR="00211123" w:rsidRPr="00211123" w:rsidRDefault="00211123" w:rsidP="004F4A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34</w:t>
            </w:r>
            <w:r w:rsidR="004F4AAB">
              <w:rPr>
                <w:rFonts w:ascii="Arial" w:hAnsi="Arial" w:cs="Arial"/>
                <w:sz w:val="16"/>
                <w:szCs w:val="16"/>
              </w:rPr>
              <w:t>2.811,83</w:t>
            </w:r>
          </w:p>
        </w:tc>
        <w:tc>
          <w:tcPr>
            <w:tcW w:w="1470" w:type="dxa"/>
            <w:tcBorders>
              <w:top w:val="nil"/>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57" w:type="dxa"/>
            <w:tcBorders>
              <w:top w:val="nil"/>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348.583,83</w:t>
            </w: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totale (B)</w:t>
            </w:r>
          </w:p>
        </w:tc>
        <w:tc>
          <w:tcPr>
            <w:tcW w:w="1455"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43.873.199,96</w:t>
            </w:r>
          </w:p>
        </w:tc>
        <w:tc>
          <w:tcPr>
            <w:tcW w:w="1470"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0,00</w:t>
            </w:r>
          </w:p>
        </w:tc>
        <w:tc>
          <w:tcPr>
            <w:tcW w:w="1457"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43.873.199,96</w:t>
            </w: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16"/>
                <w:szCs w:val="16"/>
              </w:rPr>
            </w:pPr>
            <w:r w:rsidRPr="00211123">
              <w:rPr>
                <w:rFonts w:ascii="Arial" w:hAnsi="Arial" w:cs="Arial"/>
                <w:b/>
                <w:bCs/>
                <w:sz w:val="16"/>
                <w:szCs w:val="16"/>
              </w:rPr>
              <w:t>C ATTIVO CIRCOLANTE</w:t>
            </w:r>
          </w:p>
        </w:tc>
        <w:tc>
          <w:tcPr>
            <w:tcW w:w="1455" w:type="dxa"/>
            <w:tcBorders>
              <w:top w:val="single" w:sz="4" w:space="0" w:color="auto"/>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c>
          <w:tcPr>
            <w:tcW w:w="1470" w:type="dxa"/>
            <w:tcBorders>
              <w:top w:val="single" w:sz="4" w:space="0" w:color="auto"/>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c>
          <w:tcPr>
            <w:tcW w:w="1457" w:type="dxa"/>
            <w:tcBorders>
              <w:top w:val="single" w:sz="4" w:space="0" w:color="auto"/>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6"/>
                <w:szCs w:val="16"/>
              </w:rPr>
            </w:pPr>
            <w:r w:rsidRPr="00211123">
              <w:rPr>
                <w:rFonts w:ascii="Arial" w:hAnsi="Arial" w:cs="Arial"/>
                <w:sz w:val="16"/>
                <w:szCs w:val="16"/>
              </w:rPr>
              <w:t>Rimanenze</w:t>
            </w:r>
          </w:p>
        </w:tc>
        <w:tc>
          <w:tcPr>
            <w:tcW w:w="1455"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34.602,00</w:t>
            </w:r>
          </w:p>
        </w:tc>
        <w:tc>
          <w:tcPr>
            <w:tcW w:w="1470"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57"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34.602,00</w:t>
            </w: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6"/>
                <w:szCs w:val="16"/>
              </w:rPr>
            </w:pPr>
            <w:r w:rsidRPr="00211123">
              <w:rPr>
                <w:rFonts w:ascii="Arial" w:hAnsi="Arial" w:cs="Arial"/>
                <w:sz w:val="16"/>
                <w:szCs w:val="16"/>
              </w:rPr>
              <w:t>Crediti</w:t>
            </w:r>
          </w:p>
        </w:tc>
        <w:tc>
          <w:tcPr>
            <w:tcW w:w="1455"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2.523.300,47</w:t>
            </w:r>
          </w:p>
        </w:tc>
        <w:tc>
          <w:tcPr>
            <w:tcW w:w="1470"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57"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2.523.300,47</w:t>
            </w: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6"/>
                <w:szCs w:val="16"/>
              </w:rPr>
            </w:pPr>
            <w:r w:rsidRPr="00211123">
              <w:rPr>
                <w:rFonts w:ascii="Arial" w:hAnsi="Arial" w:cs="Arial"/>
                <w:sz w:val="16"/>
                <w:szCs w:val="16"/>
              </w:rPr>
              <w:t>Attività finanziarie che non costituiscono immobilizzi</w:t>
            </w:r>
          </w:p>
        </w:tc>
        <w:tc>
          <w:tcPr>
            <w:tcW w:w="1455"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70"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57"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6"/>
                <w:szCs w:val="16"/>
              </w:rPr>
            </w:pPr>
            <w:r w:rsidRPr="00211123">
              <w:rPr>
                <w:rFonts w:ascii="Arial" w:hAnsi="Arial" w:cs="Arial"/>
                <w:sz w:val="16"/>
                <w:szCs w:val="16"/>
              </w:rPr>
              <w:t>Disponibilità liquide</w:t>
            </w:r>
          </w:p>
        </w:tc>
        <w:tc>
          <w:tcPr>
            <w:tcW w:w="1455" w:type="dxa"/>
            <w:tcBorders>
              <w:top w:val="nil"/>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5.044.319,48</w:t>
            </w:r>
          </w:p>
        </w:tc>
        <w:tc>
          <w:tcPr>
            <w:tcW w:w="1470" w:type="dxa"/>
            <w:tcBorders>
              <w:top w:val="nil"/>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57" w:type="dxa"/>
            <w:tcBorders>
              <w:top w:val="nil"/>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5.044.319,48</w:t>
            </w: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totale (C)</w:t>
            </w:r>
          </w:p>
        </w:tc>
        <w:tc>
          <w:tcPr>
            <w:tcW w:w="1455"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7.602.221,95</w:t>
            </w:r>
          </w:p>
        </w:tc>
        <w:tc>
          <w:tcPr>
            <w:tcW w:w="1470"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0,00</w:t>
            </w:r>
          </w:p>
        </w:tc>
        <w:tc>
          <w:tcPr>
            <w:tcW w:w="1457"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7.602.221,95</w:t>
            </w: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16"/>
                <w:szCs w:val="16"/>
              </w:rPr>
            </w:pPr>
            <w:r w:rsidRPr="00211123">
              <w:rPr>
                <w:rFonts w:ascii="Arial" w:hAnsi="Arial" w:cs="Arial"/>
                <w:b/>
                <w:bCs/>
                <w:sz w:val="16"/>
                <w:szCs w:val="16"/>
              </w:rPr>
              <w:t>D RATEI E RISCONTI</w:t>
            </w:r>
          </w:p>
        </w:tc>
        <w:tc>
          <w:tcPr>
            <w:tcW w:w="1455"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c>
          <w:tcPr>
            <w:tcW w:w="1470"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Totale (D)</w:t>
            </w:r>
          </w:p>
        </w:tc>
        <w:tc>
          <w:tcPr>
            <w:tcW w:w="1455"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41.844,00</w:t>
            </w:r>
          </w:p>
        </w:tc>
        <w:tc>
          <w:tcPr>
            <w:tcW w:w="1470"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57"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41.844,00</w:t>
            </w: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 xml:space="preserve">TOTALE DELL'ATTIVO </w:t>
            </w:r>
          </w:p>
        </w:tc>
        <w:tc>
          <w:tcPr>
            <w:tcW w:w="1455" w:type="dxa"/>
            <w:tcBorders>
              <w:top w:val="single" w:sz="4" w:space="0" w:color="auto"/>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51.517.265,91</w:t>
            </w:r>
          </w:p>
        </w:tc>
        <w:tc>
          <w:tcPr>
            <w:tcW w:w="1470" w:type="dxa"/>
            <w:tcBorders>
              <w:top w:val="single" w:sz="4" w:space="0" w:color="auto"/>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0,00</w:t>
            </w:r>
          </w:p>
        </w:tc>
        <w:tc>
          <w:tcPr>
            <w:tcW w:w="1457" w:type="dxa"/>
            <w:tcBorders>
              <w:top w:val="single" w:sz="4" w:space="0" w:color="auto"/>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51.517.265,91</w:t>
            </w:r>
          </w:p>
        </w:tc>
      </w:tr>
      <w:tr w:rsidR="00211123" w:rsidRPr="00211123">
        <w:tblPrEx>
          <w:tblCellMar>
            <w:right w:w="28" w:type="dxa"/>
          </w:tblCellMar>
        </w:tblPrEx>
        <w:tc>
          <w:tcPr>
            <w:tcW w:w="4738" w:type="dxa"/>
            <w:tcBorders>
              <w:top w:val="single" w:sz="6" w:space="0" w:color="auto"/>
              <w:left w:val="nil"/>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16"/>
                <w:szCs w:val="16"/>
                <w:u w:val="single"/>
              </w:rPr>
            </w:pPr>
          </w:p>
        </w:tc>
        <w:tc>
          <w:tcPr>
            <w:tcW w:w="1455" w:type="dxa"/>
            <w:tcBorders>
              <w:top w:val="single" w:sz="6" w:space="0" w:color="auto"/>
              <w:left w:val="nil"/>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c>
          <w:tcPr>
            <w:tcW w:w="1470" w:type="dxa"/>
            <w:tcBorders>
              <w:top w:val="single" w:sz="6" w:space="0" w:color="auto"/>
              <w:left w:val="nil"/>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c>
          <w:tcPr>
            <w:tcW w:w="1457" w:type="dxa"/>
            <w:tcBorders>
              <w:top w:val="single" w:sz="6" w:space="0" w:color="auto"/>
              <w:left w:val="nil"/>
              <w:bottom w:val="nil"/>
              <w:right w:val="nil"/>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r>
      <w:tr w:rsidR="00211123" w:rsidRPr="00211123">
        <w:tblPrEx>
          <w:tblCellMar>
            <w:right w:w="43" w:type="dxa"/>
          </w:tblCellMar>
        </w:tblPrEx>
        <w:tc>
          <w:tcPr>
            <w:tcW w:w="4738" w:type="dxa"/>
            <w:tcBorders>
              <w:top w:val="nil"/>
              <w:left w:val="nil"/>
              <w:bottom w:val="single" w:sz="6" w:space="0" w:color="auto"/>
              <w:right w:val="single" w:sz="6"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16"/>
                <w:szCs w:val="16"/>
              </w:rPr>
            </w:pPr>
            <w:r w:rsidRPr="00211123">
              <w:rPr>
                <w:rFonts w:ascii="Arial" w:hAnsi="Arial" w:cs="Arial"/>
                <w:b/>
                <w:bCs/>
                <w:sz w:val="16"/>
                <w:szCs w:val="16"/>
              </w:rPr>
              <w:t>STATO PATRIMONIALE CONSOLIDATO (PASSIVO)</w:t>
            </w:r>
          </w:p>
        </w:tc>
        <w:tc>
          <w:tcPr>
            <w:tcW w:w="1455" w:type="dxa"/>
            <w:tcBorders>
              <w:top w:val="single" w:sz="6" w:space="0" w:color="auto"/>
              <w:left w:val="single" w:sz="6" w:space="0" w:color="auto"/>
              <w:bottom w:val="single" w:sz="6" w:space="0" w:color="auto"/>
              <w:right w:val="single" w:sz="2" w:space="0" w:color="auto"/>
            </w:tcBorders>
            <w:shd w:val="clear" w:color="auto" w:fill="E6E6E6"/>
            <w:tcMar>
              <w:left w:w="43" w:type="dxa"/>
              <w:right w:w="35" w:type="dxa"/>
            </w:tcMar>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sz w:val="16"/>
                <w:szCs w:val="16"/>
              </w:rPr>
            </w:pPr>
            <w:r w:rsidRPr="00211123">
              <w:rPr>
                <w:rFonts w:ascii="Arial" w:hAnsi="Arial" w:cs="Arial"/>
                <w:b/>
                <w:bCs/>
                <w:sz w:val="16"/>
                <w:szCs w:val="16"/>
              </w:rPr>
              <w:t>2016</w:t>
            </w:r>
          </w:p>
        </w:tc>
        <w:tc>
          <w:tcPr>
            <w:tcW w:w="1470" w:type="dxa"/>
            <w:tcBorders>
              <w:top w:val="single" w:sz="6" w:space="0" w:color="auto"/>
              <w:left w:val="single" w:sz="2" w:space="0" w:color="auto"/>
              <w:bottom w:val="single" w:sz="6" w:space="0" w:color="auto"/>
              <w:right w:val="single" w:sz="2" w:space="0" w:color="auto"/>
            </w:tcBorders>
            <w:shd w:val="clear" w:color="auto" w:fill="E6E6E6"/>
            <w:tcMar>
              <w:left w:w="35" w:type="dxa"/>
              <w:right w:w="35" w:type="dxa"/>
            </w:tcMar>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sz w:val="16"/>
                <w:szCs w:val="16"/>
              </w:rPr>
            </w:pPr>
            <w:r w:rsidRPr="00211123">
              <w:rPr>
                <w:rFonts w:ascii="Arial" w:hAnsi="Arial" w:cs="Arial"/>
                <w:b/>
                <w:bCs/>
                <w:sz w:val="16"/>
                <w:szCs w:val="16"/>
              </w:rPr>
              <w:t>2015</w:t>
            </w:r>
          </w:p>
        </w:tc>
        <w:tc>
          <w:tcPr>
            <w:tcW w:w="1457" w:type="dxa"/>
            <w:tcBorders>
              <w:top w:val="single" w:sz="6" w:space="0" w:color="auto"/>
              <w:left w:val="single" w:sz="2" w:space="0" w:color="auto"/>
              <w:bottom w:val="single" w:sz="6" w:space="0" w:color="auto"/>
              <w:right w:val="single" w:sz="6" w:space="0" w:color="auto"/>
            </w:tcBorders>
            <w:shd w:val="clear" w:color="auto" w:fill="E6E6E6"/>
            <w:tcMar>
              <w:left w:w="35" w:type="dxa"/>
            </w:tcMar>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sz w:val="16"/>
                <w:szCs w:val="16"/>
              </w:rPr>
            </w:pPr>
            <w:r w:rsidRPr="00211123">
              <w:rPr>
                <w:rFonts w:ascii="Arial" w:hAnsi="Arial" w:cs="Arial"/>
                <w:b/>
                <w:bCs/>
                <w:sz w:val="16"/>
                <w:szCs w:val="16"/>
              </w:rPr>
              <w:t>Variazioni</w:t>
            </w:r>
          </w:p>
        </w:tc>
      </w:tr>
      <w:tr w:rsidR="00211123" w:rsidRPr="00211123">
        <w:tblPrEx>
          <w:tblCellMar>
            <w:left w:w="38" w:type="dxa"/>
          </w:tblCellMar>
        </w:tblPrEx>
        <w:tc>
          <w:tcPr>
            <w:tcW w:w="4738" w:type="dxa"/>
            <w:tcBorders>
              <w:top w:val="single" w:sz="6" w:space="0" w:color="auto"/>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16"/>
                <w:szCs w:val="16"/>
              </w:rPr>
            </w:pPr>
            <w:r w:rsidRPr="00211123">
              <w:rPr>
                <w:rFonts w:ascii="Arial" w:hAnsi="Arial" w:cs="Arial"/>
                <w:b/>
                <w:bCs/>
                <w:sz w:val="16"/>
                <w:szCs w:val="16"/>
              </w:rPr>
              <w:t>A PATRIMONIO NETTO</w:t>
            </w:r>
          </w:p>
        </w:tc>
        <w:tc>
          <w:tcPr>
            <w:tcW w:w="1455" w:type="dxa"/>
            <w:tcBorders>
              <w:top w:val="single" w:sz="6" w:space="0" w:color="auto"/>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c>
          <w:tcPr>
            <w:tcW w:w="1470" w:type="dxa"/>
            <w:tcBorders>
              <w:top w:val="single" w:sz="6" w:space="0" w:color="auto"/>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c>
          <w:tcPr>
            <w:tcW w:w="1457" w:type="dxa"/>
            <w:tcBorders>
              <w:top w:val="single" w:sz="6" w:space="0" w:color="auto"/>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6"/>
                <w:szCs w:val="16"/>
              </w:rPr>
            </w:pPr>
            <w:r w:rsidRPr="00211123">
              <w:rPr>
                <w:rFonts w:ascii="Arial" w:hAnsi="Arial" w:cs="Arial"/>
                <w:sz w:val="16"/>
                <w:szCs w:val="16"/>
              </w:rPr>
              <w:t>Fondo di dotazione</w:t>
            </w:r>
          </w:p>
        </w:tc>
        <w:tc>
          <w:tcPr>
            <w:tcW w:w="1455"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2.754.010,07</w:t>
            </w:r>
          </w:p>
        </w:tc>
        <w:tc>
          <w:tcPr>
            <w:tcW w:w="1470"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57"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2.754.010,07</w:t>
            </w: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Riserve </w:t>
            </w:r>
          </w:p>
        </w:tc>
        <w:tc>
          <w:tcPr>
            <w:tcW w:w="1455"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20.493.505,48</w:t>
            </w:r>
          </w:p>
        </w:tc>
        <w:tc>
          <w:tcPr>
            <w:tcW w:w="1470"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57"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20.493.505,48</w:t>
            </w: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6"/>
                <w:szCs w:val="16"/>
              </w:rPr>
            </w:pPr>
            <w:r w:rsidRPr="00211123">
              <w:rPr>
                <w:rFonts w:ascii="Arial" w:hAnsi="Arial" w:cs="Arial"/>
                <w:sz w:val="16"/>
                <w:szCs w:val="16"/>
              </w:rPr>
              <w:t>Risultato economico dell'esercizio</w:t>
            </w:r>
          </w:p>
        </w:tc>
        <w:tc>
          <w:tcPr>
            <w:tcW w:w="1455" w:type="dxa"/>
            <w:tcBorders>
              <w:top w:val="nil"/>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-160.204,67</w:t>
            </w:r>
          </w:p>
        </w:tc>
        <w:tc>
          <w:tcPr>
            <w:tcW w:w="1470" w:type="dxa"/>
            <w:tcBorders>
              <w:top w:val="nil"/>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c>
          <w:tcPr>
            <w:tcW w:w="1457" w:type="dxa"/>
            <w:tcBorders>
              <w:top w:val="nil"/>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-160.204,67</w:t>
            </w: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totale (A)</w:t>
            </w:r>
          </w:p>
        </w:tc>
        <w:tc>
          <w:tcPr>
            <w:tcW w:w="1455"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23.087.310,88</w:t>
            </w:r>
          </w:p>
        </w:tc>
        <w:tc>
          <w:tcPr>
            <w:tcW w:w="1470"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0,00</w:t>
            </w:r>
          </w:p>
        </w:tc>
        <w:tc>
          <w:tcPr>
            <w:tcW w:w="1457"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23.087.310,88</w:t>
            </w: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16"/>
                <w:szCs w:val="16"/>
              </w:rPr>
            </w:pPr>
            <w:r w:rsidRPr="00211123">
              <w:rPr>
                <w:rFonts w:ascii="Arial" w:hAnsi="Arial" w:cs="Arial"/>
                <w:b/>
                <w:bCs/>
                <w:sz w:val="16"/>
                <w:szCs w:val="16"/>
              </w:rPr>
              <w:t>B FONDI PER RISCHI ED ONERI</w:t>
            </w:r>
          </w:p>
        </w:tc>
        <w:tc>
          <w:tcPr>
            <w:tcW w:w="1455"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c>
          <w:tcPr>
            <w:tcW w:w="1470"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totale (B)</w:t>
            </w:r>
          </w:p>
        </w:tc>
        <w:tc>
          <w:tcPr>
            <w:tcW w:w="1455"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161.680,00</w:t>
            </w:r>
          </w:p>
        </w:tc>
        <w:tc>
          <w:tcPr>
            <w:tcW w:w="1470"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0,00</w:t>
            </w:r>
          </w:p>
        </w:tc>
        <w:tc>
          <w:tcPr>
            <w:tcW w:w="1457"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161.680,00</w:t>
            </w: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16"/>
                <w:szCs w:val="16"/>
              </w:rPr>
            </w:pPr>
            <w:r w:rsidRPr="00211123">
              <w:rPr>
                <w:rFonts w:ascii="Arial" w:hAnsi="Arial" w:cs="Arial"/>
                <w:b/>
                <w:bCs/>
                <w:sz w:val="16"/>
                <w:szCs w:val="16"/>
              </w:rPr>
              <w:t xml:space="preserve">C TRATTAMENTO </w:t>
            </w:r>
            <w:proofErr w:type="spellStart"/>
            <w:r w:rsidRPr="00211123">
              <w:rPr>
                <w:rFonts w:ascii="Arial" w:hAnsi="Arial" w:cs="Arial"/>
                <w:b/>
                <w:bCs/>
                <w:sz w:val="16"/>
                <w:szCs w:val="16"/>
              </w:rPr>
              <w:t>DI</w:t>
            </w:r>
            <w:proofErr w:type="spellEnd"/>
            <w:r w:rsidRPr="00211123">
              <w:rPr>
                <w:rFonts w:ascii="Arial" w:hAnsi="Arial" w:cs="Arial"/>
                <w:b/>
                <w:bCs/>
                <w:sz w:val="16"/>
                <w:szCs w:val="16"/>
              </w:rPr>
              <w:t xml:space="preserve"> FINE RAPPORTO</w:t>
            </w:r>
          </w:p>
        </w:tc>
        <w:tc>
          <w:tcPr>
            <w:tcW w:w="1455"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c>
          <w:tcPr>
            <w:tcW w:w="1470"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totale (C)</w:t>
            </w:r>
          </w:p>
        </w:tc>
        <w:tc>
          <w:tcPr>
            <w:tcW w:w="1455"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403.023,00</w:t>
            </w:r>
          </w:p>
        </w:tc>
        <w:tc>
          <w:tcPr>
            <w:tcW w:w="1470"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0,00</w:t>
            </w:r>
          </w:p>
        </w:tc>
        <w:tc>
          <w:tcPr>
            <w:tcW w:w="1457"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403.023,00</w:t>
            </w: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16"/>
                <w:szCs w:val="16"/>
              </w:rPr>
            </w:pPr>
            <w:r w:rsidRPr="00211123">
              <w:rPr>
                <w:rFonts w:ascii="Arial" w:hAnsi="Arial" w:cs="Arial"/>
                <w:b/>
                <w:bCs/>
                <w:sz w:val="16"/>
                <w:szCs w:val="16"/>
              </w:rPr>
              <w:t>D DEBITI</w:t>
            </w:r>
          </w:p>
        </w:tc>
        <w:tc>
          <w:tcPr>
            <w:tcW w:w="1455"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c>
          <w:tcPr>
            <w:tcW w:w="1470"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totale (D)</w:t>
            </w:r>
          </w:p>
        </w:tc>
        <w:tc>
          <w:tcPr>
            <w:tcW w:w="1455"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8.976.585,49</w:t>
            </w:r>
          </w:p>
        </w:tc>
        <w:tc>
          <w:tcPr>
            <w:tcW w:w="1470"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0,00</w:t>
            </w:r>
          </w:p>
        </w:tc>
        <w:tc>
          <w:tcPr>
            <w:tcW w:w="1457"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8.976.585,49</w:t>
            </w: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16"/>
                <w:szCs w:val="16"/>
              </w:rPr>
            </w:pPr>
            <w:r w:rsidRPr="00211123">
              <w:rPr>
                <w:rFonts w:ascii="Arial" w:hAnsi="Arial" w:cs="Arial"/>
                <w:b/>
                <w:bCs/>
                <w:sz w:val="16"/>
                <w:szCs w:val="16"/>
              </w:rPr>
              <w:t>E RATEI E RISCONTI E CONTRIBUTI AGLI INVESTIMENTI</w:t>
            </w:r>
          </w:p>
        </w:tc>
        <w:tc>
          <w:tcPr>
            <w:tcW w:w="1455"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c>
          <w:tcPr>
            <w:tcW w:w="1470"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sz w:val="16"/>
                <w:szCs w:val="16"/>
              </w:rPr>
            </w:pPr>
          </w:p>
        </w:tc>
      </w:tr>
      <w:tr w:rsidR="00211123" w:rsidRPr="00211123">
        <w:tblPrEx>
          <w:tblCellMar>
            <w:left w:w="38" w:type="dxa"/>
          </w:tblCellMar>
        </w:tblPrEx>
        <w:tc>
          <w:tcPr>
            <w:tcW w:w="4738" w:type="dxa"/>
            <w:tcBorders>
              <w:top w:val="nil"/>
              <w:left w:val="single" w:sz="4" w:space="0" w:color="auto"/>
              <w:bottom w:val="nil"/>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totale (E)</w:t>
            </w:r>
          </w:p>
        </w:tc>
        <w:tc>
          <w:tcPr>
            <w:tcW w:w="1455"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18.888.666,54</w:t>
            </w:r>
          </w:p>
        </w:tc>
        <w:tc>
          <w:tcPr>
            <w:tcW w:w="1470"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0,00</w:t>
            </w:r>
          </w:p>
        </w:tc>
        <w:tc>
          <w:tcPr>
            <w:tcW w:w="1457"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18.888.666,54</w:t>
            </w:r>
          </w:p>
        </w:tc>
      </w:tr>
      <w:tr w:rsidR="00211123" w:rsidRPr="00211123">
        <w:tblPrEx>
          <w:tblCellMar>
            <w:left w:w="38" w:type="dxa"/>
          </w:tblCellMar>
        </w:tblPrEx>
        <w:tc>
          <w:tcPr>
            <w:tcW w:w="4738" w:type="dxa"/>
            <w:tcBorders>
              <w:top w:val="nil"/>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TOTALE DEL PASSIVO</w:t>
            </w:r>
          </w:p>
        </w:tc>
        <w:tc>
          <w:tcPr>
            <w:tcW w:w="1455"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51.517.265,91</w:t>
            </w:r>
          </w:p>
        </w:tc>
        <w:tc>
          <w:tcPr>
            <w:tcW w:w="1470"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0,00</w:t>
            </w:r>
          </w:p>
        </w:tc>
        <w:tc>
          <w:tcPr>
            <w:tcW w:w="1457" w:type="dxa"/>
            <w:tcBorders>
              <w:top w:val="single" w:sz="4" w:space="0" w:color="auto"/>
              <w:left w:val="single" w:sz="4" w:space="0" w:color="auto"/>
              <w:bottom w:val="single" w:sz="4" w:space="0" w:color="auto"/>
              <w:right w:val="single" w:sz="4" w:space="0" w:color="auto"/>
            </w:tcBorders>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Arial" w:hAnsi="Arial" w:cs="Arial"/>
                <w:b/>
                <w:bCs/>
                <w:sz w:val="16"/>
                <w:szCs w:val="16"/>
              </w:rPr>
            </w:pPr>
            <w:r w:rsidRPr="00211123">
              <w:rPr>
                <w:rFonts w:ascii="Arial" w:hAnsi="Arial" w:cs="Arial"/>
                <w:b/>
                <w:bCs/>
                <w:sz w:val="16"/>
                <w:szCs w:val="16"/>
              </w:rPr>
              <w:t>51.517.265,91</w:t>
            </w:r>
          </w:p>
        </w:tc>
      </w:tr>
    </w:tbl>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Immobilizzazioni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Gli investimenti in immobilizzazioni realizzati nel corso dell’esercizio</w:t>
      </w:r>
      <w:r w:rsidR="009875F9">
        <w:rPr>
          <w:rFonts w:ascii="Arial" w:hAnsi="Arial" w:cs="Arial"/>
          <w:sz w:val="24"/>
          <w:szCs w:val="24"/>
        </w:rPr>
        <w:t xml:space="preserve"> sono riferiti in particolare a beni demaniali, infrastrutture, fabbricati, impianti e macchinari, mobili e arredi e acquisto di software. Gli investimenti in immobilizzazioni realizzati dall’Anacapri Servizi s.r.l. nel corso dell’esercizio ammontano ad Euro 20.142,00.</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u w:val="single"/>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Immobilizzazioni finanziarie</w:t>
      </w:r>
    </w:p>
    <w:p w:rsidR="00211123" w:rsidRPr="00B9438E" w:rsidRDefault="00B9438E"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B9438E">
        <w:rPr>
          <w:rFonts w:ascii="Arial" w:hAnsi="Arial" w:cs="Arial"/>
          <w:sz w:val="24"/>
          <w:szCs w:val="24"/>
        </w:rPr>
        <w:t xml:space="preserve">Le immobilizzazioni finanziarie sono costituite </w:t>
      </w:r>
      <w:r w:rsidR="001811E5">
        <w:rPr>
          <w:rFonts w:ascii="Arial" w:hAnsi="Arial" w:cs="Arial"/>
          <w:sz w:val="24"/>
          <w:szCs w:val="24"/>
        </w:rPr>
        <w:t xml:space="preserve">prevalentemente </w:t>
      </w:r>
      <w:r w:rsidRPr="00B9438E">
        <w:rPr>
          <w:rFonts w:ascii="Arial" w:hAnsi="Arial" w:cs="Arial"/>
          <w:sz w:val="24"/>
          <w:szCs w:val="24"/>
        </w:rPr>
        <w:t>da crediti verso altre amministrazioni pubbliche.</w:t>
      </w:r>
    </w:p>
    <w:p w:rsid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u w:val="single"/>
        </w:rPr>
      </w:pPr>
    </w:p>
    <w:p w:rsidR="00752A6B" w:rsidRDefault="00752A6B"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u w:val="single"/>
        </w:rPr>
      </w:pPr>
    </w:p>
    <w:p w:rsidR="00752A6B" w:rsidRPr="00211123" w:rsidRDefault="00752A6B"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u w:val="single"/>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lastRenderedPageBreak/>
        <w:t>Crediti e Debiti commerciali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L’esposizione creditoria verso i clienti ed utenti </w:t>
      </w:r>
      <w:r w:rsidRPr="00B9438E">
        <w:rPr>
          <w:rFonts w:ascii="Arial" w:hAnsi="Arial" w:cs="Arial"/>
          <w:sz w:val="24"/>
          <w:szCs w:val="24"/>
        </w:rPr>
        <w:t>si è</w:t>
      </w:r>
      <w:r w:rsidRPr="00211123">
        <w:rPr>
          <w:rFonts w:ascii="Arial" w:hAnsi="Arial" w:cs="Arial"/>
          <w:sz w:val="24"/>
          <w:szCs w:val="24"/>
        </w:rPr>
        <w:t xml:space="preserve"> mantenuta in linea con le politiche di dilazione di pagamento e </w:t>
      </w:r>
      <w:r w:rsidR="00B9438E">
        <w:rPr>
          <w:rFonts w:ascii="Arial" w:hAnsi="Arial" w:cs="Arial"/>
          <w:sz w:val="24"/>
          <w:szCs w:val="24"/>
        </w:rPr>
        <w:t>il decremento</w:t>
      </w:r>
      <w:r w:rsidRPr="00211123">
        <w:rPr>
          <w:rFonts w:ascii="Arial" w:hAnsi="Arial" w:cs="Arial"/>
          <w:sz w:val="24"/>
          <w:szCs w:val="24"/>
        </w:rPr>
        <w:t xml:space="preserve"> della posizione creditoria è imputabile</w:t>
      </w:r>
      <w:r w:rsidR="00B9438E">
        <w:rPr>
          <w:rFonts w:ascii="Arial" w:hAnsi="Arial" w:cs="Arial"/>
          <w:sz w:val="24"/>
          <w:szCs w:val="24"/>
        </w:rPr>
        <w:t xml:space="preserve"> prevalentemente</w:t>
      </w:r>
      <w:r w:rsidRPr="00211123">
        <w:rPr>
          <w:rFonts w:ascii="Arial" w:hAnsi="Arial" w:cs="Arial"/>
          <w:sz w:val="24"/>
          <w:szCs w:val="24"/>
        </w:rPr>
        <w:t xml:space="preserve"> alla </w:t>
      </w:r>
      <w:r w:rsidR="00B9438E">
        <w:rPr>
          <w:rFonts w:ascii="Arial" w:hAnsi="Arial" w:cs="Arial"/>
          <w:sz w:val="24"/>
          <w:szCs w:val="24"/>
        </w:rPr>
        <w:t>cancellazione di parte dei residui attivi</w:t>
      </w:r>
      <w:r w:rsidRPr="00211123">
        <w:rPr>
          <w:rFonts w:ascii="Arial" w:hAnsi="Arial" w:cs="Arial"/>
          <w:sz w:val="24"/>
          <w:szCs w:val="24"/>
        </w:rPr>
        <w:t>. Non si sono manifestati episodi anomali di insolvenza.</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Anche per i fornitori non si sono modificate le politiche di gestione dei pagamenti e le variazioni dei saldi al 31 dicembre sono imputabili alla scadenza temporale di alcuni pagamenti effettuati a inizio 2017.</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Magazzino</w:t>
      </w:r>
    </w:p>
    <w:p w:rsid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La voce</w:t>
      </w:r>
      <w:r w:rsidR="00B9438E">
        <w:rPr>
          <w:rFonts w:ascii="Arial" w:hAnsi="Arial" w:cs="Arial"/>
          <w:sz w:val="24"/>
          <w:szCs w:val="24"/>
        </w:rPr>
        <w:t xml:space="preserve"> non evidenzia</w:t>
      </w:r>
      <w:r w:rsidRPr="00211123">
        <w:rPr>
          <w:rFonts w:ascii="Arial" w:hAnsi="Arial" w:cs="Arial"/>
          <w:sz w:val="24"/>
          <w:szCs w:val="24"/>
        </w:rPr>
        <w:t xml:space="preserve"> significative differenze rispetto il valore dello scorso anno. </w:t>
      </w:r>
    </w:p>
    <w:p w:rsidR="00B9438E" w:rsidRPr="00211123" w:rsidRDefault="00B9438E"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Debiti verso Istituti di Credito e Posizione Finanziaria</w:t>
      </w:r>
    </w:p>
    <w:p w:rsidR="00B9438E"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Nel corso del 2016 </w:t>
      </w:r>
      <w:r w:rsidR="00B9438E">
        <w:rPr>
          <w:rFonts w:ascii="Arial" w:hAnsi="Arial" w:cs="Arial"/>
          <w:sz w:val="24"/>
          <w:szCs w:val="24"/>
        </w:rPr>
        <w:t xml:space="preserve">non </w:t>
      </w:r>
      <w:r w:rsidRPr="00211123">
        <w:rPr>
          <w:rFonts w:ascii="Arial" w:hAnsi="Arial" w:cs="Arial"/>
          <w:sz w:val="24"/>
          <w:szCs w:val="24"/>
        </w:rPr>
        <w:t>sono stat</w:t>
      </w:r>
      <w:r w:rsidR="00B9438E">
        <w:rPr>
          <w:rFonts w:ascii="Arial" w:hAnsi="Arial" w:cs="Arial"/>
          <w:sz w:val="24"/>
          <w:szCs w:val="24"/>
        </w:rPr>
        <w:t>i acquisiti nuovi finanziamenti.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Va rilevato che la dinamica finanziaria del gruppo nel corso dell’esercizio 2016 è stata alimentata dalla gestione del credito </w:t>
      </w:r>
      <w:r w:rsidRPr="00B9438E">
        <w:rPr>
          <w:rFonts w:ascii="Arial" w:hAnsi="Arial" w:cs="Arial"/>
          <w:sz w:val="24"/>
          <w:szCs w:val="24"/>
        </w:rPr>
        <w:t>e dall’autofinanziamento generato dalla gestione.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Patrimonio Netto e Riserve</w:t>
      </w:r>
    </w:p>
    <w:p w:rsidR="00B9438E"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Il Patrimonio netto recepisce</w:t>
      </w:r>
      <w:r w:rsidR="00B9438E">
        <w:rPr>
          <w:rFonts w:ascii="Arial" w:hAnsi="Arial" w:cs="Arial"/>
          <w:sz w:val="24"/>
          <w:szCs w:val="24"/>
        </w:rPr>
        <w:t xml:space="preserve"> </w:t>
      </w:r>
      <w:r w:rsidRPr="00211123">
        <w:rPr>
          <w:rFonts w:ascii="Arial" w:hAnsi="Arial" w:cs="Arial"/>
          <w:sz w:val="24"/>
          <w:szCs w:val="24"/>
        </w:rPr>
        <w:t>le variazioni per effetto della gestione del periodo</w:t>
      </w:r>
      <w:r w:rsidR="00B9438E">
        <w:rPr>
          <w:rFonts w:ascii="Arial" w:hAnsi="Arial" w:cs="Arial"/>
          <w:sz w:val="24"/>
          <w:szCs w:val="24"/>
        </w:rPr>
        <w:t>.</w:t>
      </w:r>
    </w:p>
    <w:p w:rsidR="00211123" w:rsidRPr="00211123" w:rsidRDefault="00B9438E"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Non è stato deliberato </w:t>
      </w:r>
      <w:r w:rsidR="00211123" w:rsidRPr="00211123">
        <w:rPr>
          <w:rFonts w:ascii="Arial" w:hAnsi="Arial" w:cs="Arial"/>
          <w:sz w:val="24"/>
          <w:szCs w:val="24"/>
        </w:rPr>
        <w:t>aumento di capitale</w:t>
      </w:r>
      <w:r>
        <w:rPr>
          <w:rFonts w:ascii="Arial" w:hAnsi="Arial" w:cs="Arial"/>
          <w:sz w:val="24"/>
          <w:szCs w:val="24"/>
        </w:rPr>
        <w:t xml:space="preserve"> e non sono stati</w:t>
      </w:r>
      <w:r w:rsidR="00211123" w:rsidRPr="00211123">
        <w:rPr>
          <w:rFonts w:ascii="Arial" w:hAnsi="Arial" w:cs="Arial"/>
          <w:sz w:val="24"/>
          <w:szCs w:val="24"/>
        </w:rPr>
        <w:t xml:space="preserve"> distribuiti dividendi.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i/>
          <w:iCs/>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i/>
          <w:iCs/>
          <w:sz w:val="24"/>
          <w:szCs w:val="24"/>
        </w:rPr>
      </w:pPr>
      <w:r w:rsidRPr="00211123">
        <w:rPr>
          <w:rFonts w:ascii="Arial" w:hAnsi="Arial" w:cs="Arial"/>
          <w:b/>
          <w:bCs/>
          <w:i/>
          <w:iCs/>
          <w:sz w:val="24"/>
          <w:szCs w:val="24"/>
        </w:rPr>
        <w:t>1.3 Altre informazioni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i/>
          <w:iCs/>
          <w:sz w:val="24"/>
          <w:szCs w:val="24"/>
        </w:rPr>
      </w:pPr>
    </w:p>
    <w:p w:rsidR="00211123" w:rsidRPr="00211123" w:rsidRDefault="00211123" w:rsidP="00211123">
      <w:pPr>
        <w:numPr>
          <w:ilvl w:val="0"/>
          <w:numId w:val="2"/>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Personale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La composizione </w:t>
      </w:r>
      <w:r w:rsidR="00725DBC">
        <w:rPr>
          <w:rFonts w:ascii="Arial" w:hAnsi="Arial" w:cs="Arial"/>
          <w:sz w:val="24"/>
          <w:szCs w:val="24"/>
        </w:rPr>
        <w:t xml:space="preserve">media </w:t>
      </w:r>
      <w:r w:rsidRPr="00211123">
        <w:rPr>
          <w:rFonts w:ascii="Arial" w:hAnsi="Arial" w:cs="Arial"/>
          <w:sz w:val="24"/>
          <w:szCs w:val="24"/>
        </w:rPr>
        <w:t>del personale che opera nell</w:t>
      </w:r>
      <w:r w:rsidR="00B9438E">
        <w:rPr>
          <w:rFonts w:ascii="Arial" w:hAnsi="Arial" w:cs="Arial"/>
          <w:sz w:val="24"/>
          <w:szCs w:val="24"/>
        </w:rPr>
        <w:t>a società Anacapri Servizi s.r.l.</w:t>
      </w:r>
      <w:r w:rsidRPr="00211123">
        <w:rPr>
          <w:rFonts w:ascii="Arial" w:hAnsi="Arial" w:cs="Arial"/>
          <w:sz w:val="24"/>
          <w:szCs w:val="24"/>
        </w:rPr>
        <w:t xml:space="preserve"> al 31 dicembre 2016 è di </w:t>
      </w:r>
      <w:r w:rsidR="00725DBC">
        <w:rPr>
          <w:rFonts w:ascii="Arial" w:hAnsi="Arial" w:cs="Arial"/>
          <w:sz w:val="24"/>
          <w:szCs w:val="24"/>
        </w:rPr>
        <w:t>26</w:t>
      </w:r>
      <w:r w:rsidRPr="00211123">
        <w:rPr>
          <w:rFonts w:ascii="Arial" w:hAnsi="Arial" w:cs="Arial"/>
          <w:sz w:val="24"/>
          <w:szCs w:val="24"/>
        </w:rPr>
        <w:t xml:space="preserve"> unità. Nel corso dell’esercizio non si sono verificati infortuni.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numPr>
          <w:ilvl w:val="0"/>
          <w:numId w:val="2"/>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Ambiente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Le componenti il Gruppo svolgono la propria attività nel rispetto delle disposizioni in materia di tutela dell’ambiente. Nel corso dell’esercizio sono state svolte regolarmente, dalle società esterne incaricate, le attività di monitoraggio sul rispetto degli standard delle emissioni gassose e liquide, sempre con esito negativo. </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numPr>
          <w:ilvl w:val="0"/>
          <w:numId w:val="2"/>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Rapporti tra le imprese del gruppo</w:t>
      </w:r>
    </w:p>
    <w:p w:rsid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Nel corso dell'esercizio </w:t>
      </w:r>
      <w:r w:rsidR="005C0C4A">
        <w:rPr>
          <w:rFonts w:ascii="Arial" w:hAnsi="Arial" w:cs="Arial"/>
          <w:sz w:val="24"/>
          <w:szCs w:val="24"/>
        </w:rPr>
        <w:t>il Comune di Anacapri (</w:t>
      </w:r>
      <w:r w:rsidRPr="00211123">
        <w:rPr>
          <w:rFonts w:ascii="Arial" w:hAnsi="Arial" w:cs="Arial"/>
          <w:sz w:val="24"/>
          <w:szCs w:val="24"/>
        </w:rPr>
        <w:t>capogruppo</w:t>
      </w:r>
      <w:r w:rsidR="005C0C4A">
        <w:rPr>
          <w:rFonts w:ascii="Arial" w:hAnsi="Arial" w:cs="Arial"/>
          <w:sz w:val="24"/>
          <w:szCs w:val="24"/>
        </w:rPr>
        <w:t>)</w:t>
      </w:r>
      <w:r w:rsidRPr="00211123">
        <w:rPr>
          <w:rFonts w:ascii="Arial" w:hAnsi="Arial" w:cs="Arial"/>
          <w:sz w:val="24"/>
          <w:szCs w:val="24"/>
        </w:rPr>
        <w:t xml:space="preserve"> ha intrattenuto rapporti con le seguenti imprese controllate:</w:t>
      </w:r>
    </w:p>
    <w:p w:rsidR="005C0C4A" w:rsidRPr="00211123" w:rsidRDefault="005C0C4A"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Anacapri Servizi s.r.l.</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Tali rapporti, che non comprendono operazioni atipiche e/o inusuali, sono regolati da normali condizioni di mercato.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numPr>
          <w:ilvl w:val="0"/>
          <w:numId w:val="2"/>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Fatti di rilievo avvenuti dopo la chiusura dell’esercizio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Non vi sono fatti rilevanti e a carattere straordinario, avvenuti dopo la chiusura dell’esercizio al 31 dicembre 2016.</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numPr>
          <w:ilvl w:val="0"/>
          <w:numId w:val="2"/>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Evoluzione prevedibile della gestione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Sulla base dei dati previsionali elaborati per l’esercizio 2017 si stima una </w:t>
      </w:r>
      <w:r w:rsidR="005C0C4A">
        <w:rPr>
          <w:rFonts w:ascii="Arial" w:hAnsi="Arial" w:cs="Arial"/>
          <w:sz w:val="24"/>
          <w:szCs w:val="24"/>
        </w:rPr>
        <w:t>stabilità</w:t>
      </w:r>
      <w:r w:rsidRPr="00211123">
        <w:rPr>
          <w:rFonts w:ascii="Arial" w:hAnsi="Arial" w:cs="Arial"/>
          <w:sz w:val="24"/>
          <w:szCs w:val="24"/>
        </w:rPr>
        <w:t xml:space="preserve"> del volume delle vendite ed un risultato economico positivo. I risultati dei primi mesi del 2017 confermano tali .previsioni e, di conseguenza, le suddette aspettative.</w:t>
      </w:r>
    </w:p>
    <w:p w:rsid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752A6B" w:rsidRDefault="00752A6B"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752A6B" w:rsidRDefault="00752A6B"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752A6B" w:rsidRDefault="00752A6B"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752A6B" w:rsidRDefault="00752A6B"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752A6B" w:rsidRDefault="00752A6B"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752A6B" w:rsidRDefault="00752A6B"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752A6B" w:rsidRDefault="00752A6B"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752A6B" w:rsidRDefault="00752A6B"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752A6B" w:rsidRDefault="00752A6B"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752A6B" w:rsidRDefault="00752A6B"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752A6B" w:rsidRDefault="00752A6B"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752A6B" w:rsidRDefault="00752A6B"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752A6B" w:rsidRDefault="00752A6B"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752A6B" w:rsidRDefault="00752A6B"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752A6B" w:rsidRDefault="00752A6B"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752A6B" w:rsidRPr="00211123" w:rsidRDefault="00752A6B"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sz w:val="24"/>
          <w:szCs w:val="24"/>
        </w:rPr>
      </w:pPr>
      <w:r w:rsidRPr="00211123">
        <w:rPr>
          <w:rFonts w:ascii="Arial" w:hAnsi="Arial" w:cs="Arial"/>
          <w:b/>
          <w:bCs/>
          <w:sz w:val="24"/>
          <w:szCs w:val="24"/>
        </w:rPr>
        <w:lastRenderedPageBreak/>
        <w:t>2 NOTA INTEGRATIVA AL BILANCIO CONSOLIDATO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sz w:val="24"/>
          <w:szCs w:val="24"/>
        </w:rPr>
      </w:pPr>
      <w:r w:rsidRPr="00211123">
        <w:rPr>
          <w:rFonts w:ascii="Arial" w:hAnsi="Arial" w:cs="Arial"/>
          <w:b/>
          <w:bCs/>
          <w:sz w:val="24"/>
          <w:szCs w:val="24"/>
        </w:rPr>
        <w:t>2.1 Criteri di formazione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I bilanci della capogruppo e dei componenti del gruppo, rettificati secondo le modalità indicate nei paragrafi successivi sono aggregati voce per voce, facendo riferimento ai singoli valori contabili, rettificati sommando tra loro i corrispondenti valori dello stato patrimoniale (attivo, passivo e patrimonio netto) e del conto economico (ricavi e proventi, costi e oneri):</w:t>
      </w:r>
    </w:p>
    <w:p w:rsidR="00211123" w:rsidRPr="00211123" w:rsidRDefault="00211123" w:rsidP="00211123">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per un importo proporzionale alla quota di partecipazione, con riferimento ai bilanci delle società partecipate e degli enti strumentali partecipati (cd. metodo proporzionale);</w:t>
      </w:r>
    </w:p>
    <w:p w:rsidR="00211123" w:rsidRPr="00211123" w:rsidRDefault="00211123" w:rsidP="00211123">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per l’intero importo delle voci contabili con riferimento ai bilanci degli enti strumentali controllati e delle società controllate (cd. metodo integrale).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Nel caso di applicazione del metodo integrale, nel bilancio consolidato è rappresentata la quota di pertinenza di terzi, sia nello stato patrimoniale che nel conto economico, distintamente da quella della capogruppo.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numPr>
          <w:ilvl w:val="0"/>
          <w:numId w:val="2"/>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Individuazione dei soggetti del Gruppo Pubblico Locale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Secondo le previsioni del D.lgs. 118/2011, i soggetti che potenzialmente possono concorrere alla produzione del bilancio consolidato sono distinguibili in:</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Enti strumentali, per i quali l’articolo 11 – </w:t>
      </w:r>
      <w:proofErr w:type="spellStart"/>
      <w:r w:rsidRPr="00211123">
        <w:rPr>
          <w:rFonts w:ascii="Arial" w:hAnsi="Arial" w:cs="Arial"/>
          <w:sz w:val="24"/>
          <w:szCs w:val="24"/>
        </w:rPr>
        <w:t>ter</w:t>
      </w:r>
      <w:proofErr w:type="spellEnd"/>
      <w:r w:rsidRPr="00211123">
        <w:rPr>
          <w:rFonts w:ascii="Arial" w:hAnsi="Arial" w:cs="Arial"/>
          <w:sz w:val="24"/>
          <w:szCs w:val="24"/>
        </w:rPr>
        <w:t xml:space="preserve"> del </w:t>
      </w:r>
      <w:proofErr w:type="spellStart"/>
      <w:r w:rsidRPr="00211123">
        <w:rPr>
          <w:rFonts w:ascii="Arial" w:hAnsi="Arial" w:cs="Arial"/>
          <w:sz w:val="24"/>
          <w:szCs w:val="24"/>
        </w:rPr>
        <w:t>dlgs</w:t>
      </w:r>
      <w:proofErr w:type="spellEnd"/>
      <w:r w:rsidRPr="00211123">
        <w:rPr>
          <w:rFonts w:ascii="Arial" w:hAnsi="Arial" w:cs="Arial"/>
          <w:sz w:val="24"/>
          <w:szCs w:val="24"/>
        </w:rPr>
        <w:t xml:space="preserve"> 118/2011 recita:</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i/>
          <w:iCs/>
          <w:sz w:val="24"/>
          <w:szCs w:val="24"/>
        </w:rPr>
      </w:pPr>
      <w:r w:rsidRPr="00211123">
        <w:rPr>
          <w:rFonts w:ascii="Arial" w:hAnsi="Arial" w:cs="Arial"/>
          <w:b/>
          <w:bCs/>
          <w:i/>
          <w:iCs/>
          <w:sz w:val="24"/>
          <w:szCs w:val="24"/>
        </w:rPr>
        <w:t>ENTE STRUMENTALE CONTROLLATO</w:t>
      </w:r>
      <w:r w:rsidRPr="00211123">
        <w:rPr>
          <w:rFonts w:ascii="Arial" w:hAnsi="Arial" w:cs="Arial"/>
          <w:i/>
          <w:iCs/>
          <w:sz w:val="24"/>
          <w:szCs w:val="24"/>
        </w:rPr>
        <w:t xml:space="preserve"> di una regione o di un ente locale di cui all'art. 2 del decreto legislativo 18 agosto 2000, n. 267, l'azienda o l'ente, pubblico o privato, nei cui confronti la regione o l'ente locale ha una delle seguenti condizioni:</w:t>
      </w:r>
    </w:p>
    <w:p w:rsidR="00211123" w:rsidRPr="00211123" w:rsidRDefault="00211123" w:rsidP="00211123">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i/>
          <w:iCs/>
          <w:sz w:val="24"/>
          <w:szCs w:val="24"/>
        </w:rPr>
      </w:pPr>
      <w:r w:rsidRPr="00211123">
        <w:rPr>
          <w:rFonts w:ascii="Arial" w:hAnsi="Arial" w:cs="Arial"/>
          <w:i/>
          <w:iCs/>
          <w:sz w:val="24"/>
          <w:szCs w:val="24"/>
        </w:rPr>
        <w:t>il possesso, diretto o indiretto, della maggioranza dei voti esercitabili nell'ente o nell'azienda;</w:t>
      </w:r>
    </w:p>
    <w:p w:rsidR="00211123" w:rsidRPr="00211123" w:rsidRDefault="00211123" w:rsidP="00211123">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i/>
          <w:iCs/>
          <w:sz w:val="24"/>
          <w:szCs w:val="24"/>
        </w:rPr>
      </w:pPr>
      <w:r w:rsidRPr="00211123">
        <w:rPr>
          <w:rFonts w:ascii="Arial" w:hAnsi="Arial" w:cs="Arial"/>
          <w:i/>
          <w:iCs/>
          <w:sz w:val="24"/>
          <w:szCs w:val="24"/>
        </w:rPr>
        <w:t>il potere assegnato da legge, statuto o convenzione di nominare o rimuovere la maggioranza dei componenti degli organi decisionali, competenti a definire le scelte strategiche e le politiche di settore, nonché a decidere in ordine all'indirizzo, alla pianificazione ed alla programmazione dell'attività di un ente o di un'azienda;</w:t>
      </w:r>
    </w:p>
    <w:p w:rsidR="00211123" w:rsidRPr="00211123" w:rsidRDefault="00211123" w:rsidP="00211123">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i/>
          <w:iCs/>
          <w:sz w:val="24"/>
          <w:szCs w:val="24"/>
        </w:rPr>
      </w:pPr>
      <w:r w:rsidRPr="00211123">
        <w:rPr>
          <w:rFonts w:ascii="Arial" w:hAnsi="Arial" w:cs="Arial"/>
          <w:i/>
          <w:iCs/>
          <w:sz w:val="24"/>
          <w:szCs w:val="24"/>
        </w:rPr>
        <w:lastRenderedPageBreak/>
        <w:t>la maggioranza, diretta o indiretta, dei diritti di voto nelle sedute degli organi decisionali, competenti a definire le scelte strategiche e le politiche di settore, nonché a decidere in ordine all'indirizzo, alla pianificazione ed alla programmazione dell'attività dell'ente o dell'azienda;</w:t>
      </w:r>
    </w:p>
    <w:p w:rsidR="00211123" w:rsidRPr="00211123" w:rsidRDefault="00211123" w:rsidP="00211123">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i/>
          <w:iCs/>
          <w:sz w:val="24"/>
          <w:szCs w:val="24"/>
        </w:rPr>
      </w:pPr>
      <w:r w:rsidRPr="00211123">
        <w:rPr>
          <w:rFonts w:ascii="Arial" w:hAnsi="Arial" w:cs="Arial"/>
          <w:i/>
          <w:iCs/>
          <w:sz w:val="24"/>
          <w:szCs w:val="24"/>
        </w:rPr>
        <w:t>l'obbligo di ripianare i disavanzi, nei casi consentiti dalla legge, per percentuali superiori alla propria quota di partecipazione;</w:t>
      </w:r>
    </w:p>
    <w:p w:rsidR="00211123" w:rsidRPr="00211123" w:rsidRDefault="00211123" w:rsidP="00211123">
      <w:pPr>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i/>
          <w:iCs/>
          <w:sz w:val="24"/>
          <w:szCs w:val="24"/>
        </w:rPr>
      </w:pPr>
      <w:r w:rsidRPr="00211123">
        <w:rPr>
          <w:rFonts w:ascii="Arial" w:hAnsi="Arial" w:cs="Arial"/>
          <w:i/>
          <w:iCs/>
          <w:sz w:val="24"/>
          <w:szCs w:val="24"/>
        </w:rPr>
        <w:t xml:space="preserve">un'influenza dominante in </w:t>
      </w:r>
      <w:proofErr w:type="spellStart"/>
      <w:r w:rsidRPr="00211123">
        <w:rPr>
          <w:rFonts w:ascii="Arial" w:hAnsi="Arial" w:cs="Arial"/>
          <w:i/>
          <w:iCs/>
          <w:sz w:val="24"/>
          <w:szCs w:val="24"/>
        </w:rPr>
        <w:t>virtu'</w:t>
      </w:r>
      <w:proofErr w:type="spellEnd"/>
      <w:r w:rsidRPr="00211123">
        <w:rPr>
          <w:rFonts w:ascii="Arial" w:hAnsi="Arial" w:cs="Arial"/>
          <w:i/>
          <w:iCs/>
          <w:sz w:val="24"/>
          <w:szCs w:val="24"/>
        </w:rPr>
        <w:t xml:space="preserve"> di contratti o clausole statutarie, nei casi in cui la legge consente tali contratti o clausole. I contratti di servizio pubblico e di concessione, stipulati con enti o aziende che svolgono prevalentemente l'attività oggetto di tali contratti, comportano l'esercizio di influenza dominante.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b/>
          <w:bCs/>
          <w:i/>
          <w:iCs/>
          <w:sz w:val="24"/>
          <w:szCs w:val="24"/>
        </w:rPr>
        <w:t>ENTE STRUMENTALE PARTECIPATO</w:t>
      </w:r>
      <w:r w:rsidRPr="00211123">
        <w:rPr>
          <w:rFonts w:ascii="Arial" w:hAnsi="Arial" w:cs="Arial"/>
          <w:i/>
          <w:iCs/>
          <w:sz w:val="24"/>
          <w:szCs w:val="24"/>
        </w:rPr>
        <w:t xml:space="preserve"> da una regione o da un ente locale di cui all'art. 2 del decreto legislativo 18 agosto 2000, n. 267, l'azienda o l'ente, pubblico o privato, nel quale la regione o l'ente locale ha una partecipazione, in assenza delle condizioni proprie degli enti strumentali controllati in precedenza esposte</w:t>
      </w:r>
      <w:r w:rsidRPr="00211123">
        <w:rPr>
          <w:rFonts w:ascii="Arial" w:hAnsi="Arial" w:cs="Arial"/>
          <w:sz w:val="24"/>
          <w:szCs w:val="24"/>
        </w:rPr>
        <w:t>.</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Mentre le società, ai sensi dell’artt. 11 – </w:t>
      </w:r>
      <w:proofErr w:type="spellStart"/>
      <w:r w:rsidRPr="00211123">
        <w:rPr>
          <w:rFonts w:ascii="Arial" w:hAnsi="Arial" w:cs="Arial"/>
          <w:sz w:val="24"/>
          <w:szCs w:val="24"/>
        </w:rPr>
        <w:t>quater</w:t>
      </w:r>
      <w:proofErr w:type="spellEnd"/>
      <w:r w:rsidRPr="00211123">
        <w:rPr>
          <w:rFonts w:ascii="Arial" w:hAnsi="Arial" w:cs="Arial"/>
          <w:sz w:val="24"/>
          <w:szCs w:val="24"/>
        </w:rPr>
        <w:t xml:space="preserve"> e 11 – </w:t>
      </w:r>
      <w:proofErr w:type="spellStart"/>
      <w:r w:rsidRPr="00211123">
        <w:rPr>
          <w:rFonts w:ascii="Arial" w:hAnsi="Arial" w:cs="Arial"/>
          <w:sz w:val="24"/>
          <w:szCs w:val="24"/>
        </w:rPr>
        <w:t>quinquies</w:t>
      </w:r>
      <w:proofErr w:type="spellEnd"/>
      <w:r w:rsidRPr="00211123">
        <w:rPr>
          <w:rFonts w:ascii="Arial" w:hAnsi="Arial" w:cs="Arial"/>
          <w:sz w:val="24"/>
          <w:szCs w:val="24"/>
        </w:rPr>
        <w:t xml:space="preserve"> del DLGS 118/2011, sono così classificabili: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i/>
          <w:iCs/>
          <w:sz w:val="24"/>
          <w:szCs w:val="24"/>
        </w:rPr>
      </w:pPr>
      <w:r w:rsidRPr="00211123">
        <w:rPr>
          <w:rFonts w:ascii="Arial" w:hAnsi="Arial" w:cs="Arial"/>
          <w:b/>
          <w:bCs/>
          <w:i/>
          <w:iCs/>
          <w:sz w:val="24"/>
          <w:szCs w:val="24"/>
        </w:rPr>
        <w:t>SOCIETÀ CONTROLLATE</w:t>
      </w:r>
      <w:r w:rsidRPr="00211123">
        <w:rPr>
          <w:rFonts w:ascii="Arial" w:hAnsi="Arial" w:cs="Arial"/>
          <w:i/>
          <w:iCs/>
          <w:sz w:val="24"/>
          <w:szCs w:val="24"/>
        </w:rPr>
        <w:t xml:space="preserve"> da una regione o da un ente locale la società nella quale la regione o l'ente locale ha una delle seguenti condizioni:</w:t>
      </w:r>
    </w:p>
    <w:p w:rsidR="00211123" w:rsidRPr="00211123" w:rsidRDefault="00211123" w:rsidP="00211123">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i/>
          <w:iCs/>
          <w:sz w:val="24"/>
          <w:szCs w:val="24"/>
        </w:rPr>
      </w:pPr>
      <w:r w:rsidRPr="00211123">
        <w:rPr>
          <w:rFonts w:ascii="Arial" w:hAnsi="Arial" w:cs="Arial"/>
          <w:i/>
          <w:iCs/>
          <w:sz w:val="24"/>
          <w:szCs w:val="24"/>
        </w:rPr>
        <w:t>il possesso, diretto o indiretto, anche sulla scorta di patti parasociali, della maggioranza dei voti esercitabili nell'assemblea ordinaria o dispone di voti sufficienti per esercitare una influenza dominante sull'assemblea ordinaria;</w:t>
      </w:r>
    </w:p>
    <w:p w:rsidR="00211123" w:rsidRPr="00211123" w:rsidRDefault="00211123" w:rsidP="00211123">
      <w:pPr>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i/>
          <w:iCs/>
          <w:sz w:val="24"/>
          <w:szCs w:val="24"/>
        </w:rPr>
      </w:pPr>
      <w:r w:rsidRPr="00211123">
        <w:rPr>
          <w:rFonts w:ascii="Arial" w:hAnsi="Arial" w:cs="Arial"/>
          <w:i/>
          <w:iCs/>
          <w:sz w:val="24"/>
          <w:szCs w:val="24"/>
        </w:rPr>
        <w:t>il diritto, in virtù di un contratto o di una clausola statutaria, di esercitare un'influenza dominante, quando la legge consente tali contratti o clausole.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08"/>
        <w:jc w:val="both"/>
        <w:rPr>
          <w:rFonts w:ascii="Arial" w:hAnsi="Arial" w:cs="Arial"/>
          <w:i/>
          <w:iCs/>
          <w:sz w:val="24"/>
          <w:szCs w:val="24"/>
        </w:rPr>
      </w:pPr>
      <w:r w:rsidRPr="00211123">
        <w:rPr>
          <w:rFonts w:ascii="Arial" w:hAnsi="Arial" w:cs="Arial"/>
          <w:i/>
          <w:iCs/>
          <w:sz w:val="24"/>
          <w:szCs w:val="24"/>
        </w:rPr>
        <w:t>I contratti di servizio pubblico e gli atti di concessione stipulati con società che svolgono prevalentemente l'attività oggetto di tali contratti, comportano l'esercizio di influenza dominante.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b/>
          <w:bCs/>
          <w:i/>
          <w:iCs/>
          <w:sz w:val="24"/>
          <w:szCs w:val="24"/>
        </w:rPr>
        <w:t>SOCIETÀ PARTECIPATE</w:t>
      </w:r>
      <w:r w:rsidRPr="00211123">
        <w:rPr>
          <w:rFonts w:ascii="Arial" w:hAnsi="Arial" w:cs="Arial"/>
          <w:i/>
          <w:iCs/>
          <w:sz w:val="24"/>
          <w:szCs w:val="24"/>
        </w:rPr>
        <w:t xml:space="preserve"> dell’amministrazione pubblica capogruppo, costituite dalle società a totale partecipazione pubblica affidatarie dirette di servizi pubblici locali della regione o dell’ente locale indipendentemente dalla quota di partecipazione. A decorrere dal 2018, con riferimento all’esercizio 2017 la definizione di società partecipata è estesa alle società nelle quali la regione o l’ente locale, direttamente o indirettamente, dispone di una quota significativa di voti, esercitabili in assemblea, pari o superiore al 20 per cento, o al 10 per cento se trattasi di società quotata</w:t>
      </w:r>
      <w:r w:rsidRPr="00211123">
        <w:rPr>
          <w:rFonts w:ascii="Arial" w:hAnsi="Arial" w:cs="Arial"/>
          <w:sz w:val="24"/>
          <w:szCs w:val="24"/>
        </w:rPr>
        <w:t>.</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Da quanto esposto l’insieme del </w:t>
      </w:r>
      <w:r w:rsidRPr="00211123">
        <w:rPr>
          <w:rFonts w:ascii="Arial" w:hAnsi="Arial" w:cs="Arial"/>
          <w:b/>
          <w:bCs/>
          <w:sz w:val="24"/>
          <w:szCs w:val="24"/>
        </w:rPr>
        <w:t>gruppo “amministrazione pubblica”</w:t>
      </w:r>
      <w:r w:rsidRPr="00211123">
        <w:rPr>
          <w:rFonts w:ascii="Arial" w:hAnsi="Arial" w:cs="Arial"/>
          <w:sz w:val="24"/>
          <w:szCs w:val="24"/>
        </w:rPr>
        <w:t xml:space="preserve"> viene così costituito e classificato: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tbl>
      <w:tblPr>
        <w:tblW w:w="0" w:type="auto"/>
        <w:tblInd w:w="-8" w:type="dxa"/>
        <w:tblLayout w:type="fixed"/>
        <w:tblCellMar>
          <w:top w:w="17" w:type="dxa"/>
          <w:left w:w="51" w:type="dxa"/>
          <w:bottom w:w="17" w:type="dxa"/>
          <w:right w:w="43" w:type="dxa"/>
        </w:tblCellMar>
        <w:tblLook w:val="0000"/>
      </w:tblPr>
      <w:tblGrid>
        <w:gridCol w:w="3313"/>
        <w:gridCol w:w="1230"/>
        <w:gridCol w:w="1020"/>
        <w:gridCol w:w="1050"/>
        <w:gridCol w:w="1035"/>
        <w:gridCol w:w="930"/>
        <w:gridCol w:w="1040"/>
      </w:tblGrid>
      <w:tr w:rsidR="00211123" w:rsidRPr="00211123">
        <w:tc>
          <w:tcPr>
            <w:tcW w:w="3313" w:type="dxa"/>
            <w:tcBorders>
              <w:top w:val="single" w:sz="6" w:space="0" w:color="auto"/>
              <w:left w:val="single" w:sz="6" w:space="0" w:color="auto"/>
              <w:bottom w:val="single" w:sz="6" w:space="0" w:color="auto"/>
              <w:right w:val="single" w:sz="2" w:space="0" w:color="auto"/>
            </w:tcBorders>
            <w:shd w:val="clear" w:color="auto" w:fill="E6E6E6"/>
            <w:vAlign w:val="center"/>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r w:rsidRPr="00211123">
              <w:rPr>
                <w:rFonts w:ascii="Arial" w:hAnsi="Arial" w:cs="Arial"/>
                <w:b/>
                <w:bCs/>
                <w:sz w:val="16"/>
                <w:szCs w:val="16"/>
              </w:rPr>
              <w:t xml:space="preserve">Denominazione </w:t>
            </w:r>
            <w:proofErr w:type="spellStart"/>
            <w:r w:rsidRPr="00211123">
              <w:rPr>
                <w:rFonts w:ascii="Arial" w:hAnsi="Arial" w:cs="Arial"/>
                <w:b/>
                <w:bCs/>
                <w:sz w:val="16"/>
                <w:szCs w:val="16"/>
              </w:rPr>
              <w:t>Org</w:t>
            </w:r>
            <w:proofErr w:type="spellEnd"/>
            <w:r w:rsidRPr="00211123">
              <w:rPr>
                <w:rFonts w:ascii="Arial" w:hAnsi="Arial" w:cs="Arial"/>
                <w:b/>
                <w:bCs/>
                <w:sz w:val="16"/>
                <w:szCs w:val="16"/>
              </w:rPr>
              <w:t>./</w:t>
            </w:r>
            <w:proofErr w:type="spellStart"/>
            <w:r w:rsidRPr="00211123">
              <w:rPr>
                <w:rFonts w:ascii="Arial" w:hAnsi="Arial" w:cs="Arial"/>
                <w:b/>
                <w:bCs/>
                <w:sz w:val="16"/>
                <w:szCs w:val="16"/>
              </w:rPr>
              <w:t>Soc</w:t>
            </w:r>
            <w:proofErr w:type="spellEnd"/>
            <w:r w:rsidRPr="00211123">
              <w:rPr>
                <w:rFonts w:ascii="Arial" w:hAnsi="Arial" w:cs="Arial"/>
                <w:b/>
                <w:bCs/>
                <w:sz w:val="16"/>
                <w:szCs w:val="16"/>
              </w:rPr>
              <w:t>.</w:t>
            </w:r>
          </w:p>
        </w:tc>
        <w:tc>
          <w:tcPr>
            <w:tcW w:w="1230" w:type="dxa"/>
            <w:tcBorders>
              <w:top w:val="single" w:sz="6" w:space="0" w:color="auto"/>
              <w:left w:val="single" w:sz="2" w:space="0" w:color="auto"/>
              <w:bottom w:val="single" w:sz="6" w:space="0" w:color="auto"/>
              <w:right w:val="single" w:sz="2" w:space="0" w:color="auto"/>
            </w:tcBorders>
            <w:shd w:val="clear" w:color="auto" w:fill="E6E6E6"/>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Partecipazione</w:t>
            </w:r>
          </w:p>
        </w:tc>
        <w:tc>
          <w:tcPr>
            <w:tcW w:w="1020" w:type="dxa"/>
            <w:tcBorders>
              <w:top w:val="single" w:sz="6" w:space="0" w:color="auto"/>
              <w:left w:val="single" w:sz="2" w:space="0" w:color="auto"/>
              <w:bottom w:val="single" w:sz="6" w:space="0" w:color="auto"/>
              <w:right w:val="single" w:sz="2" w:space="0" w:color="auto"/>
            </w:tcBorders>
            <w:shd w:val="clear" w:color="auto" w:fill="E6E6E6"/>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Organismo strumentale</w:t>
            </w:r>
          </w:p>
        </w:tc>
        <w:tc>
          <w:tcPr>
            <w:tcW w:w="1050" w:type="dxa"/>
            <w:tcBorders>
              <w:top w:val="single" w:sz="6" w:space="0" w:color="auto"/>
              <w:left w:val="single" w:sz="2" w:space="0" w:color="auto"/>
              <w:bottom w:val="single" w:sz="6" w:space="0" w:color="auto"/>
              <w:right w:val="single" w:sz="2" w:space="0" w:color="auto"/>
            </w:tcBorders>
            <w:shd w:val="clear" w:color="auto" w:fill="E6E6E6"/>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Ente strumentale controllato</w:t>
            </w:r>
          </w:p>
        </w:tc>
        <w:tc>
          <w:tcPr>
            <w:tcW w:w="1035" w:type="dxa"/>
            <w:tcBorders>
              <w:top w:val="single" w:sz="6" w:space="0" w:color="auto"/>
              <w:left w:val="single" w:sz="2" w:space="0" w:color="auto"/>
              <w:bottom w:val="single" w:sz="6" w:space="0" w:color="auto"/>
              <w:right w:val="single" w:sz="2" w:space="0" w:color="auto"/>
            </w:tcBorders>
            <w:shd w:val="clear" w:color="auto" w:fill="E6E6E6"/>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Ente strumentale partecipato</w:t>
            </w:r>
          </w:p>
        </w:tc>
        <w:tc>
          <w:tcPr>
            <w:tcW w:w="930" w:type="dxa"/>
            <w:tcBorders>
              <w:top w:val="single" w:sz="6" w:space="0" w:color="auto"/>
              <w:left w:val="single" w:sz="2" w:space="0" w:color="auto"/>
              <w:bottom w:val="single" w:sz="6" w:space="0" w:color="auto"/>
              <w:right w:val="single" w:sz="2" w:space="0" w:color="auto"/>
            </w:tcBorders>
            <w:shd w:val="clear" w:color="auto" w:fill="E6E6E6"/>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Società controllata</w:t>
            </w:r>
          </w:p>
        </w:tc>
        <w:tc>
          <w:tcPr>
            <w:tcW w:w="1040" w:type="dxa"/>
            <w:tcBorders>
              <w:top w:val="single" w:sz="6" w:space="0" w:color="auto"/>
              <w:left w:val="single" w:sz="2" w:space="0" w:color="auto"/>
              <w:bottom w:val="single" w:sz="6" w:space="0" w:color="auto"/>
              <w:right w:val="single" w:sz="6" w:space="0" w:color="auto"/>
            </w:tcBorders>
            <w:shd w:val="clear" w:color="auto" w:fill="E6E6E6"/>
            <w:tcMar>
              <w:left w:w="43" w:type="dxa"/>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Società partecipata</w:t>
            </w:r>
          </w:p>
        </w:tc>
      </w:tr>
      <w:tr w:rsidR="00211123" w:rsidRPr="00211123">
        <w:tc>
          <w:tcPr>
            <w:tcW w:w="331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ANACAPRI SERVIZI SRL</w:t>
            </w:r>
          </w:p>
        </w:tc>
        <w:tc>
          <w:tcPr>
            <w:tcW w:w="123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100,00%</w:t>
            </w:r>
          </w:p>
        </w:tc>
        <w:tc>
          <w:tcPr>
            <w:tcW w:w="102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0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03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93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X</w:t>
            </w:r>
          </w:p>
        </w:tc>
        <w:tc>
          <w:tcPr>
            <w:tcW w:w="1040" w:type="dxa"/>
            <w:tcBorders>
              <w:top w:val="single" w:sz="6" w:space="0" w:color="auto"/>
              <w:left w:val="single" w:sz="2" w:space="0" w:color="auto"/>
              <w:bottom w:val="single" w:sz="6" w:space="0" w:color="auto"/>
              <w:right w:val="single" w:sz="6" w:space="0" w:color="auto"/>
            </w:tcBorders>
            <w:tcMar>
              <w:left w:w="43" w:type="dxa"/>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r>
      <w:tr w:rsidR="00211123" w:rsidRPr="00211123">
        <w:tc>
          <w:tcPr>
            <w:tcW w:w="331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Ente d'ambito sarnese Vesuviano</w:t>
            </w:r>
          </w:p>
        </w:tc>
        <w:tc>
          <w:tcPr>
            <w:tcW w:w="123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0,36%</w:t>
            </w:r>
          </w:p>
        </w:tc>
        <w:tc>
          <w:tcPr>
            <w:tcW w:w="102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0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03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X</w:t>
            </w:r>
          </w:p>
        </w:tc>
        <w:tc>
          <w:tcPr>
            <w:tcW w:w="93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040" w:type="dxa"/>
            <w:tcBorders>
              <w:top w:val="single" w:sz="6" w:space="0" w:color="auto"/>
              <w:left w:val="single" w:sz="2" w:space="0" w:color="auto"/>
              <w:bottom w:val="single" w:sz="6" w:space="0" w:color="auto"/>
              <w:right w:val="single" w:sz="6" w:space="0" w:color="auto"/>
            </w:tcBorders>
            <w:tcMar>
              <w:left w:w="43" w:type="dxa"/>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r>
      <w:tr w:rsidR="00211123" w:rsidRPr="00211123">
        <w:tc>
          <w:tcPr>
            <w:tcW w:w="331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Consorzio di Bacino NA1</w:t>
            </w:r>
          </w:p>
        </w:tc>
        <w:tc>
          <w:tcPr>
            <w:tcW w:w="123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1,12%</w:t>
            </w:r>
          </w:p>
        </w:tc>
        <w:tc>
          <w:tcPr>
            <w:tcW w:w="102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0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03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93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040" w:type="dxa"/>
            <w:tcBorders>
              <w:top w:val="single" w:sz="6" w:space="0" w:color="auto"/>
              <w:left w:val="single" w:sz="2" w:space="0" w:color="auto"/>
              <w:bottom w:val="single" w:sz="6" w:space="0" w:color="auto"/>
              <w:right w:val="single" w:sz="6" w:space="0" w:color="auto"/>
            </w:tcBorders>
            <w:tcMar>
              <w:left w:w="43" w:type="dxa"/>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X</w:t>
            </w:r>
          </w:p>
        </w:tc>
      </w:tr>
      <w:tr w:rsidR="00211123" w:rsidRPr="00211123">
        <w:tc>
          <w:tcPr>
            <w:tcW w:w="331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Consorzio ASMEZ</w:t>
            </w:r>
          </w:p>
        </w:tc>
        <w:tc>
          <w:tcPr>
            <w:tcW w:w="123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0,12%</w:t>
            </w:r>
          </w:p>
        </w:tc>
        <w:tc>
          <w:tcPr>
            <w:tcW w:w="102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0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03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93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040" w:type="dxa"/>
            <w:tcBorders>
              <w:top w:val="single" w:sz="6" w:space="0" w:color="auto"/>
              <w:left w:val="single" w:sz="2" w:space="0" w:color="auto"/>
              <w:bottom w:val="single" w:sz="6" w:space="0" w:color="auto"/>
              <w:right w:val="single" w:sz="6" w:space="0" w:color="auto"/>
            </w:tcBorders>
            <w:tcMar>
              <w:left w:w="43" w:type="dxa"/>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X</w:t>
            </w:r>
          </w:p>
        </w:tc>
      </w:tr>
      <w:tr w:rsidR="00211123" w:rsidRPr="00211123">
        <w:tc>
          <w:tcPr>
            <w:tcW w:w="331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proofErr w:type="spellStart"/>
            <w:r w:rsidRPr="00211123">
              <w:rPr>
                <w:rFonts w:ascii="Arial" w:hAnsi="Arial" w:cs="Arial"/>
                <w:sz w:val="16"/>
                <w:szCs w:val="16"/>
              </w:rPr>
              <w:t>Asmenet</w:t>
            </w:r>
            <w:proofErr w:type="spellEnd"/>
            <w:r w:rsidRPr="00211123">
              <w:rPr>
                <w:rFonts w:ascii="Arial" w:hAnsi="Arial" w:cs="Arial"/>
                <w:sz w:val="16"/>
                <w:szCs w:val="16"/>
              </w:rPr>
              <w:t xml:space="preserve"> SCRL</w:t>
            </w:r>
          </w:p>
        </w:tc>
        <w:tc>
          <w:tcPr>
            <w:tcW w:w="123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0,34%</w:t>
            </w:r>
          </w:p>
        </w:tc>
        <w:tc>
          <w:tcPr>
            <w:tcW w:w="102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0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03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93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040" w:type="dxa"/>
            <w:tcBorders>
              <w:top w:val="single" w:sz="6" w:space="0" w:color="auto"/>
              <w:left w:val="single" w:sz="2" w:space="0" w:color="auto"/>
              <w:bottom w:val="single" w:sz="6" w:space="0" w:color="auto"/>
              <w:right w:val="single" w:sz="6" w:space="0" w:color="auto"/>
            </w:tcBorders>
            <w:tcMar>
              <w:left w:w="43" w:type="dxa"/>
              <w:right w:w="51" w:type="dxa"/>
            </w:tcMar>
            <w:vAlign w:val="center"/>
          </w:tcPr>
          <w:p w:rsidR="00211123" w:rsidRPr="00211123" w:rsidRDefault="000E26F7" w:rsidP="0021112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X</w:t>
            </w:r>
          </w:p>
        </w:tc>
      </w:tr>
      <w:tr w:rsidR="00211123" w:rsidRPr="00211123">
        <w:tc>
          <w:tcPr>
            <w:tcW w:w="331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Consorzio Società GAL Terra protetta </w:t>
            </w:r>
            <w:proofErr w:type="spellStart"/>
            <w:r w:rsidRPr="00211123">
              <w:rPr>
                <w:rFonts w:ascii="Arial" w:hAnsi="Arial" w:cs="Arial"/>
                <w:sz w:val="16"/>
                <w:szCs w:val="16"/>
              </w:rPr>
              <w:t>a.r.l</w:t>
            </w:r>
            <w:proofErr w:type="spellEnd"/>
          </w:p>
        </w:tc>
        <w:tc>
          <w:tcPr>
            <w:tcW w:w="123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1,67%</w:t>
            </w:r>
          </w:p>
        </w:tc>
        <w:tc>
          <w:tcPr>
            <w:tcW w:w="102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0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03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93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040" w:type="dxa"/>
            <w:tcBorders>
              <w:top w:val="single" w:sz="6" w:space="0" w:color="auto"/>
              <w:left w:val="single" w:sz="2" w:space="0" w:color="auto"/>
              <w:bottom w:val="single" w:sz="6" w:space="0" w:color="auto"/>
              <w:right w:val="single" w:sz="6" w:space="0" w:color="auto"/>
            </w:tcBorders>
            <w:tcMar>
              <w:left w:w="43" w:type="dxa"/>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X</w:t>
            </w:r>
          </w:p>
        </w:tc>
      </w:tr>
      <w:tr w:rsidR="00211123" w:rsidRPr="00211123">
        <w:tc>
          <w:tcPr>
            <w:tcW w:w="331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Fondazione Capri</w:t>
            </w:r>
          </w:p>
        </w:tc>
        <w:tc>
          <w:tcPr>
            <w:tcW w:w="123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0,00%</w:t>
            </w:r>
          </w:p>
        </w:tc>
        <w:tc>
          <w:tcPr>
            <w:tcW w:w="102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0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03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93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040" w:type="dxa"/>
            <w:tcBorders>
              <w:top w:val="single" w:sz="6" w:space="0" w:color="auto"/>
              <w:left w:val="single" w:sz="2" w:space="0" w:color="auto"/>
              <w:bottom w:val="single" w:sz="6" w:space="0" w:color="auto"/>
              <w:right w:val="single" w:sz="6" w:space="0" w:color="auto"/>
            </w:tcBorders>
            <w:tcMar>
              <w:left w:w="43" w:type="dxa"/>
              <w:right w:w="51" w:type="dxa"/>
            </w:tcMar>
            <w:vAlign w:val="center"/>
          </w:tcPr>
          <w:p w:rsidR="00211123" w:rsidRPr="00211123" w:rsidRDefault="000E26F7" w:rsidP="0021112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X</w:t>
            </w:r>
          </w:p>
        </w:tc>
      </w:tr>
    </w:tbl>
    <w:p w:rsidR="00211123" w:rsidRPr="00211123" w:rsidRDefault="00211123" w:rsidP="00211123">
      <w:pPr>
        <w:widowControl w:val="0"/>
        <w:autoSpaceDE w:val="0"/>
        <w:autoSpaceDN w:val="0"/>
        <w:adjustRightInd w:val="0"/>
        <w:spacing w:after="0" w:line="240" w:lineRule="auto"/>
        <w:rPr>
          <w:rFonts w:ascii="Arial" w:hAnsi="Arial" w:cs="Arial"/>
          <w:sz w:val="24"/>
          <w:szCs w:val="24"/>
        </w:rPr>
      </w:pPr>
    </w:p>
    <w:p w:rsidR="00211123" w:rsidRDefault="00211123" w:rsidP="000E26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A riguardo si evidenzia che partecipa a costituire, per l’anno 2016, il gruppo “amministrazione pubblica”</w:t>
      </w:r>
      <w:r w:rsidR="000E26F7">
        <w:rPr>
          <w:rFonts w:ascii="Arial" w:hAnsi="Arial" w:cs="Arial"/>
          <w:sz w:val="24"/>
          <w:szCs w:val="24"/>
        </w:rPr>
        <w:t xml:space="preserve"> solo la Anacapri Servizi s.r.l. poiché le altre, </w:t>
      </w:r>
      <w:r w:rsidRPr="000E26F7">
        <w:rPr>
          <w:rFonts w:ascii="Arial" w:hAnsi="Arial" w:cs="Arial"/>
          <w:sz w:val="24"/>
          <w:szCs w:val="24"/>
        </w:rPr>
        <w:t xml:space="preserve">pur essendo società partecipate, non </w:t>
      </w:r>
      <w:r w:rsidR="000E26F7">
        <w:rPr>
          <w:rFonts w:ascii="Arial" w:hAnsi="Arial" w:cs="Arial"/>
          <w:sz w:val="24"/>
          <w:szCs w:val="24"/>
        </w:rPr>
        <w:t>rientrano nel perimetro del consolidamento secondo la vigente normativa.</w:t>
      </w:r>
    </w:p>
    <w:p w:rsidR="000E26F7" w:rsidRPr="00211123" w:rsidRDefault="000E26F7" w:rsidP="000E26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tbl>
      <w:tblPr>
        <w:tblW w:w="0" w:type="auto"/>
        <w:tblInd w:w="-8" w:type="dxa"/>
        <w:tblLayout w:type="fixed"/>
        <w:tblCellMar>
          <w:top w:w="17" w:type="dxa"/>
          <w:left w:w="51" w:type="dxa"/>
          <w:bottom w:w="17" w:type="dxa"/>
          <w:right w:w="36" w:type="dxa"/>
        </w:tblCellMar>
        <w:tblLook w:val="0000"/>
      </w:tblPr>
      <w:tblGrid>
        <w:gridCol w:w="287"/>
        <w:gridCol w:w="56"/>
        <w:gridCol w:w="420"/>
        <w:gridCol w:w="7661"/>
        <w:gridCol w:w="15"/>
        <w:gridCol w:w="257"/>
        <w:gridCol w:w="15"/>
        <w:gridCol w:w="287"/>
        <w:gridCol w:w="600"/>
      </w:tblGrid>
      <w:tr w:rsidR="00211123" w:rsidRPr="00211123">
        <w:tc>
          <w:tcPr>
            <w:tcW w:w="8424" w:type="dxa"/>
            <w:gridSpan w:val="4"/>
            <w:tcBorders>
              <w:top w:val="single" w:sz="6" w:space="0" w:color="auto"/>
              <w:left w:val="single" w:sz="6" w:space="0" w:color="auto"/>
              <w:bottom w:val="single" w:sz="6" w:space="0" w:color="auto"/>
              <w:right w:val="nil"/>
            </w:tcBorders>
            <w:shd w:val="clear" w:color="auto" w:fill="E6E6E6"/>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r w:rsidRPr="00211123">
              <w:rPr>
                <w:rFonts w:ascii="Arial" w:hAnsi="Arial" w:cs="Arial"/>
                <w:b/>
                <w:bCs/>
                <w:sz w:val="16"/>
                <w:szCs w:val="16"/>
              </w:rPr>
              <w:t xml:space="preserve">Organismo strumentale (art. 1 </w:t>
            </w:r>
            <w:proofErr w:type="spellStart"/>
            <w:r w:rsidRPr="00211123">
              <w:rPr>
                <w:rFonts w:ascii="Arial" w:hAnsi="Arial" w:cs="Arial"/>
                <w:b/>
                <w:bCs/>
                <w:sz w:val="16"/>
                <w:szCs w:val="16"/>
              </w:rPr>
              <w:t>co</w:t>
            </w:r>
            <w:proofErr w:type="spellEnd"/>
            <w:r w:rsidRPr="00211123">
              <w:rPr>
                <w:rFonts w:ascii="Arial" w:hAnsi="Arial" w:cs="Arial"/>
                <w:b/>
                <w:bCs/>
                <w:sz w:val="16"/>
                <w:szCs w:val="16"/>
              </w:rPr>
              <w:t>. 2)</w:t>
            </w:r>
          </w:p>
        </w:tc>
        <w:tc>
          <w:tcPr>
            <w:tcW w:w="272" w:type="dxa"/>
            <w:gridSpan w:val="2"/>
            <w:tcBorders>
              <w:top w:val="single" w:sz="6" w:space="0" w:color="auto"/>
              <w:left w:val="nil"/>
              <w:bottom w:val="single" w:sz="6" w:space="0" w:color="auto"/>
              <w:right w:val="nil"/>
            </w:tcBorders>
            <w:shd w:val="clear" w:color="auto" w:fill="E6E6E6"/>
            <w:tcMar>
              <w:left w:w="36" w:type="dxa"/>
            </w:tcMar>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p>
        </w:tc>
        <w:tc>
          <w:tcPr>
            <w:tcW w:w="302" w:type="dxa"/>
            <w:gridSpan w:val="2"/>
            <w:tcBorders>
              <w:top w:val="single" w:sz="6" w:space="0" w:color="auto"/>
              <w:left w:val="nil"/>
              <w:bottom w:val="single" w:sz="6" w:space="0" w:color="auto"/>
              <w:right w:val="single" w:sz="6" w:space="0" w:color="auto"/>
            </w:tcBorders>
            <w:shd w:val="clear" w:color="auto" w:fill="E6E6E6"/>
            <w:tcMar>
              <w:left w:w="36" w:type="dxa"/>
              <w:right w:w="51" w:type="dxa"/>
            </w:tcMa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p>
        </w:tc>
        <w:tc>
          <w:tcPr>
            <w:tcW w:w="600" w:type="dxa"/>
            <w:tcBorders>
              <w:top w:val="single" w:sz="6" w:space="0" w:color="auto"/>
              <w:left w:val="single" w:sz="6" w:space="0" w:color="auto"/>
              <w:bottom w:val="single" w:sz="6" w:space="0" w:color="auto"/>
              <w:right w:val="single" w:sz="6" w:space="0" w:color="auto"/>
            </w:tcBorders>
            <w:shd w:val="clear" w:color="auto" w:fill="E6E6E6"/>
            <w:tcMar>
              <w:right w:w="51" w:type="dxa"/>
            </w:tcMa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N</w:t>
            </w:r>
          </w:p>
        </w:tc>
      </w:tr>
      <w:tr w:rsidR="00211123" w:rsidRPr="00211123">
        <w:tc>
          <w:tcPr>
            <w:tcW w:w="287" w:type="dxa"/>
            <w:tcBorders>
              <w:top w:val="single" w:sz="6" w:space="0" w:color="auto"/>
              <w:left w:val="single" w:sz="6" w:space="0" w:color="auto"/>
              <w:bottom w:val="single" w:sz="6" w:space="0" w:color="auto"/>
              <w:right w:val="nil"/>
            </w:tcBorders>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b) </w:t>
            </w:r>
          </w:p>
        </w:tc>
        <w:tc>
          <w:tcPr>
            <w:tcW w:w="8409" w:type="dxa"/>
            <w:gridSpan w:val="5"/>
            <w:tcBorders>
              <w:top w:val="single" w:sz="6" w:space="0" w:color="auto"/>
              <w:left w:val="nil"/>
              <w:bottom w:val="single" w:sz="6" w:space="0" w:color="auto"/>
              <w:right w:val="nil"/>
            </w:tcBorders>
            <w:tcMar>
              <w:left w:w="36" w:type="dxa"/>
            </w:tcMar>
          </w:tcPr>
          <w:p w:rsidR="00211123" w:rsidRPr="00211123" w:rsidRDefault="00211123" w:rsidP="00211123">
            <w:pPr>
              <w:widowControl w:val="0"/>
              <w:autoSpaceDE w:val="0"/>
              <w:autoSpaceDN w:val="0"/>
              <w:adjustRightInd w:val="0"/>
              <w:spacing w:after="0" w:line="240" w:lineRule="auto"/>
              <w:jc w:val="both"/>
              <w:rPr>
                <w:rFonts w:ascii="Arial" w:hAnsi="Arial" w:cs="Arial"/>
                <w:sz w:val="16"/>
                <w:szCs w:val="16"/>
              </w:rPr>
            </w:pPr>
            <w:r w:rsidRPr="00211123">
              <w:rPr>
                <w:rFonts w:ascii="Arial" w:hAnsi="Arial" w:cs="Arial"/>
                <w:sz w:val="16"/>
                <w:szCs w:val="16"/>
              </w:rPr>
              <w:t xml:space="preserve">per organismi strumentali delle regioni e degli enti locali si intendono le loro articolazioni organizzative, anche a livello territoriale, dotate di autonomia gestionale e contabile, prive di </w:t>
            </w:r>
            <w:proofErr w:type="spellStart"/>
            <w:r w:rsidRPr="00211123">
              <w:rPr>
                <w:rFonts w:ascii="Arial" w:hAnsi="Arial" w:cs="Arial"/>
                <w:sz w:val="16"/>
                <w:szCs w:val="16"/>
              </w:rPr>
              <w:t>personalita'</w:t>
            </w:r>
            <w:proofErr w:type="spellEnd"/>
            <w:r w:rsidRPr="00211123">
              <w:rPr>
                <w:rFonts w:ascii="Arial" w:hAnsi="Arial" w:cs="Arial"/>
                <w:sz w:val="16"/>
                <w:szCs w:val="16"/>
              </w:rPr>
              <w:t xml:space="preserve"> giuridica. Le gestioni fuori bilancio autorizzate da legge e le istituzioni di cui all'art. 114, comma 2, del decreto legislativo 18 agosto 2000, n. 267, sono organismi strumentali. Gli organismi strumentali sono distinti nelle tipologie definite in corrispondenza delle missioni del bilancio.</w:t>
            </w:r>
          </w:p>
        </w:tc>
        <w:tc>
          <w:tcPr>
            <w:tcW w:w="302" w:type="dxa"/>
            <w:gridSpan w:val="2"/>
            <w:tcBorders>
              <w:top w:val="single" w:sz="6" w:space="0" w:color="auto"/>
              <w:left w:val="nil"/>
              <w:bottom w:val="single" w:sz="6" w:space="0" w:color="auto"/>
              <w:right w:val="single" w:sz="6" w:space="0" w:color="auto"/>
            </w:tcBorders>
            <w:tcMar>
              <w:left w:w="36" w:type="dxa"/>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600" w:type="dxa"/>
            <w:tcBorders>
              <w:top w:val="single" w:sz="6" w:space="0" w:color="auto"/>
              <w:left w:val="single" w:sz="6" w:space="0" w:color="auto"/>
              <w:bottom w:val="single" w:sz="6" w:space="0" w:color="auto"/>
              <w:right w:val="single" w:sz="6" w:space="0" w:color="auto"/>
            </w:tcBorders>
            <w:tcMar>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0</w:t>
            </w:r>
          </w:p>
        </w:tc>
      </w:tr>
      <w:tr w:rsidR="00211123" w:rsidRPr="00211123">
        <w:tc>
          <w:tcPr>
            <w:tcW w:w="8424" w:type="dxa"/>
            <w:gridSpan w:val="4"/>
            <w:tcBorders>
              <w:top w:val="single" w:sz="6" w:space="0" w:color="auto"/>
              <w:left w:val="single" w:sz="6" w:space="0" w:color="auto"/>
              <w:bottom w:val="single" w:sz="6" w:space="0" w:color="auto"/>
              <w:right w:val="nil"/>
            </w:tcBorders>
            <w:shd w:val="clear" w:color="auto" w:fill="E6E6E6"/>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r w:rsidRPr="00211123">
              <w:rPr>
                <w:rFonts w:ascii="Arial" w:hAnsi="Arial" w:cs="Arial"/>
                <w:b/>
                <w:bCs/>
                <w:sz w:val="16"/>
                <w:szCs w:val="16"/>
              </w:rPr>
              <w:t xml:space="preserve">Ente strumentale </w:t>
            </w:r>
          </w:p>
        </w:tc>
        <w:tc>
          <w:tcPr>
            <w:tcW w:w="272" w:type="dxa"/>
            <w:gridSpan w:val="2"/>
            <w:tcBorders>
              <w:top w:val="single" w:sz="6" w:space="0" w:color="auto"/>
              <w:left w:val="nil"/>
              <w:bottom w:val="single" w:sz="6" w:space="0" w:color="auto"/>
              <w:right w:val="nil"/>
            </w:tcBorders>
            <w:shd w:val="clear" w:color="auto" w:fill="E6E6E6"/>
            <w:tcMar>
              <w:left w:w="36" w:type="dxa"/>
            </w:tcMar>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p>
        </w:tc>
        <w:tc>
          <w:tcPr>
            <w:tcW w:w="302" w:type="dxa"/>
            <w:gridSpan w:val="2"/>
            <w:tcBorders>
              <w:top w:val="single" w:sz="6" w:space="0" w:color="auto"/>
              <w:left w:val="nil"/>
              <w:bottom w:val="single" w:sz="6" w:space="0" w:color="auto"/>
              <w:right w:val="single" w:sz="6" w:space="0" w:color="auto"/>
            </w:tcBorders>
            <w:shd w:val="clear" w:color="auto" w:fill="E6E6E6"/>
            <w:tcMar>
              <w:left w:w="36" w:type="dxa"/>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p>
        </w:tc>
        <w:tc>
          <w:tcPr>
            <w:tcW w:w="600" w:type="dxa"/>
            <w:tcBorders>
              <w:top w:val="single" w:sz="6" w:space="0" w:color="auto"/>
              <w:left w:val="single" w:sz="6" w:space="0" w:color="auto"/>
              <w:bottom w:val="single" w:sz="6" w:space="0" w:color="auto"/>
              <w:right w:val="single" w:sz="6" w:space="0" w:color="auto"/>
            </w:tcBorders>
            <w:shd w:val="clear" w:color="auto" w:fill="E6E6E6"/>
            <w:tcMar>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N</w:t>
            </w:r>
          </w:p>
        </w:tc>
      </w:tr>
      <w:tr w:rsidR="00211123" w:rsidRPr="00211123">
        <w:tc>
          <w:tcPr>
            <w:tcW w:w="8424" w:type="dxa"/>
            <w:gridSpan w:val="4"/>
            <w:tcBorders>
              <w:top w:val="single" w:sz="6" w:space="0" w:color="auto"/>
              <w:left w:val="single" w:sz="6" w:space="0" w:color="auto"/>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r w:rsidRPr="00211123">
              <w:rPr>
                <w:rFonts w:ascii="Arial" w:hAnsi="Arial" w:cs="Arial"/>
                <w:b/>
                <w:bCs/>
                <w:sz w:val="16"/>
                <w:szCs w:val="16"/>
              </w:rPr>
              <w:t xml:space="preserve">- controllato (art. 11 </w:t>
            </w:r>
            <w:proofErr w:type="spellStart"/>
            <w:r w:rsidRPr="00211123">
              <w:rPr>
                <w:rFonts w:ascii="Arial" w:hAnsi="Arial" w:cs="Arial"/>
                <w:b/>
                <w:bCs/>
                <w:sz w:val="16"/>
                <w:szCs w:val="16"/>
              </w:rPr>
              <w:t>ter</w:t>
            </w:r>
            <w:proofErr w:type="spellEnd"/>
            <w:r w:rsidRPr="00211123">
              <w:rPr>
                <w:rFonts w:ascii="Arial" w:hAnsi="Arial" w:cs="Arial"/>
                <w:b/>
                <w:bCs/>
                <w:sz w:val="16"/>
                <w:szCs w:val="16"/>
              </w:rPr>
              <w:t xml:space="preserve"> </w:t>
            </w:r>
            <w:proofErr w:type="spellStart"/>
            <w:r w:rsidRPr="00211123">
              <w:rPr>
                <w:rFonts w:ascii="Arial" w:hAnsi="Arial" w:cs="Arial"/>
                <w:b/>
                <w:bCs/>
                <w:sz w:val="16"/>
                <w:szCs w:val="16"/>
              </w:rPr>
              <w:t>co</w:t>
            </w:r>
            <w:proofErr w:type="spellEnd"/>
            <w:r w:rsidRPr="00211123">
              <w:rPr>
                <w:rFonts w:ascii="Arial" w:hAnsi="Arial" w:cs="Arial"/>
                <w:b/>
                <w:bCs/>
                <w:sz w:val="16"/>
                <w:szCs w:val="16"/>
              </w:rPr>
              <w:t>. 1)</w:t>
            </w:r>
          </w:p>
        </w:tc>
        <w:tc>
          <w:tcPr>
            <w:tcW w:w="272" w:type="dxa"/>
            <w:gridSpan w:val="2"/>
            <w:tcBorders>
              <w:top w:val="single" w:sz="6" w:space="0" w:color="auto"/>
              <w:left w:val="nil"/>
              <w:bottom w:val="nil"/>
              <w:right w:val="nil"/>
            </w:tcBorders>
            <w:tcMar>
              <w:left w:w="36" w:type="dxa"/>
            </w:tcMa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p>
        </w:tc>
        <w:tc>
          <w:tcPr>
            <w:tcW w:w="302" w:type="dxa"/>
            <w:gridSpan w:val="2"/>
            <w:tcBorders>
              <w:top w:val="single" w:sz="6" w:space="0" w:color="auto"/>
              <w:left w:val="nil"/>
              <w:bottom w:val="nil"/>
              <w:right w:val="single" w:sz="6" w:space="0" w:color="auto"/>
            </w:tcBorders>
            <w:tcMar>
              <w:left w:w="36" w:type="dxa"/>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600" w:type="dxa"/>
            <w:tcBorders>
              <w:top w:val="single" w:sz="6" w:space="0" w:color="auto"/>
              <w:left w:val="single" w:sz="6" w:space="0" w:color="auto"/>
              <w:bottom w:val="nil"/>
              <w:right w:val="single" w:sz="6" w:space="0" w:color="auto"/>
            </w:tcBorders>
            <w:tcMar>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r>
      <w:tr w:rsidR="00211123" w:rsidRPr="00211123">
        <w:tc>
          <w:tcPr>
            <w:tcW w:w="343" w:type="dxa"/>
            <w:gridSpan w:val="2"/>
            <w:tcBorders>
              <w:top w:val="nil"/>
              <w:left w:val="single" w:sz="6" w:space="0" w:color="auto"/>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p>
        </w:tc>
        <w:tc>
          <w:tcPr>
            <w:tcW w:w="420" w:type="dxa"/>
            <w:tcBorders>
              <w:top w:val="nil"/>
              <w:left w:val="nil"/>
              <w:bottom w:val="nil"/>
              <w:right w:val="nil"/>
            </w:tcBorders>
            <w:tcMar>
              <w:left w:w="36" w:type="dxa"/>
            </w:tcMa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a)</w:t>
            </w:r>
          </w:p>
        </w:tc>
        <w:tc>
          <w:tcPr>
            <w:tcW w:w="8235" w:type="dxa"/>
            <w:gridSpan w:val="5"/>
            <w:tcBorders>
              <w:top w:val="nil"/>
              <w:left w:val="nil"/>
              <w:bottom w:val="nil"/>
              <w:right w:val="single" w:sz="6" w:space="0" w:color="auto"/>
            </w:tcBorders>
            <w:tcMar>
              <w:left w:w="36" w:type="dxa"/>
              <w:right w:w="51" w:type="dxa"/>
            </w:tcMar>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il possesso, diretto o indiretto, della maggioranza dei voti esercitabili nell'ente o nell'azienda</w:t>
            </w:r>
          </w:p>
        </w:tc>
        <w:tc>
          <w:tcPr>
            <w:tcW w:w="600" w:type="dxa"/>
            <w:tcBorders>
              <w:top w:val="nil"/>
              <w:left w:val="single" w:sz="6" w:space="0" w:color="auto"/>
              <w:bottom w:val="nil"/>
              <w:right w:val="single" w:sz="6" w:space="0" w:color="auto"/>
            </w:tcBorders>
            <w:tcMar>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0</w:t>
            </w:r>
          </w:p>
        </w:tc>
      </w:tr>
      <w:tr w:rsidR="00211123" w:rsidRPr="00211123">
        <w:tc>
          <w:tcPr>
            <w:tcW w:w="343" w:type="dxa"/>
            <w:gridSpan w:val="2"/>
            <w:tcBorders>
              <w:top w:val="nil"/>
              <w:left w:val="single" w:sz="6" w:space="0" w:color="auto"/>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p>
        </w:tc>
        <w:tc>
          <w:tcPr>
            <w:tcW w:w="420" w:type="dxa"/>
            <w:tcBorders>
              <w:top w:val="nil"/>
              <w:left w:val="nil"/>
              <w:bottom w:val="nil"/>
              <w:right w:val="nil"/>
            </w:tcBorders>
            <w:tcMar>
              <w:left w:w="36" w:type="dxa"/>
            </w:tcMa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b)</w:t>
            </w:r>
          </w:p>
        </w:tc>
        <w:tc>
          <w:tcPr>
            <w:tcW w:w="8235" w:type="dxa"/>
            <w:gridSpan w:val="5"/>
            <w:tcBorders>
              <w:top w:val="nil"/>
              <w:left w:val="nil"/>
              <w:bottom w:val="nil"/>
              <w:right w:val="single" w:sz="6" w:space="0" w:color="auto"/>
            </w:tcBorders>
            <w:tcMar>
              <w:left w:w="36" w:type="dxa"/>
              <w:right w:w="51" w:type="dxa"/>
            </w:tcMar>
            <w:vAlign w:val="center"/>
          </w:tcPr>
          <w:p w:rsidR="00211123" w:rsidRPr="00211123" w:rsidRDefault="00211123" w:rsidP="00211123">
            <w:pPr>
              <w:widowControl w:val="0"/>
              <w:autoSpaceDE w:val="0"/>
              <w:autoSpaceDN w:val="0"/>
              <w:adjustRightInd w:val="0"/>
              <w:spacing w:after="0" w:line="240" w:lineRule="auto"/>
              <w:jc w:val="both"/>
              <w:rPr>
                <w:rFonts w:ascii="Arial" w:hAnsi="Arial" w:cs="Arial"/>
                <w:sz w:val="16"/>
                <w:szCs w:val="16"/>
              </w:rPr>
            </w:pPr>
            <w:r w:rsidRPr="00211123">
              <w:rPr>
                <w:rFonts w:ascii="Arial" w:hAnsi="Arial" w:cs="Arial"/>
                <w:sz w:val="16"/>
                <w:szCs w:val="16"/>
              </w:rPr>
              <w:t xml:space="preserve">i potere assegnato da legge, statuto o convenzione di nominare o rimuovere la maggioranza dei componenti degli organi decisionali, competenti a definire le scelte strategiche e le politiche di settore, </w:t>
            </w:r>
            <w:proofErr w:type="spellStart"/>
            <w:r w:rsidRPr="00211123">
              <w:rPr>
                <w:rFonts w:ascii="Arial" w:hAnsi="Arial" w:cs="Arial"/>
                <w:sz w:val="16"/>
                <w:szCs w:val="16"/>
              </w:rPr>
              <w:t>nonche'</w:t>
            </w:r>
            <w:proofErr w:type="spellEnd"/>
            <w:r w:rsidRPr="00211123">
              <w:rPr>
                <w:rFonts w:ascii="Arial" w:hAnsi="Arial" w:cs="Arial"/>
                <w:sz w:val="16"/>
                <w:szCs w:val="16"/>
              </w:rPr>
              <w:t xml:space="preserve"> a decidere in ordine all'indirizzo, alla pianificazione ed alla programmazione dell'</w:t>
            </w:r>
            <w:proofErr w:type="spellStart"/>
            <w:r w:rsidRPr="00211123">
              <w:rPr>
                <w:rFonts w:ascii="Arial" w:hAnsi="Arial" w:cs="Arial"/>
                <w:sz w:val="16"/>
                <w:szCs w:val="16"/>
              </w:rPr>
              <w:t>attivita</w:t>
            </w:r>
            <w:proofErr w:type="spellEnd"/>
            <w:r w:rsidRPr="00211123">
              <w:rPr>
                <w:rFonts w:ascii="Arial" w:hAnsi="Arial" w:cs="Arial"/>
                <w:sz w:val="16"/>
                <w:szCs w:val="16"/>
              </w:rPr>
              <w:t>' di un ente o di un'azienda</w:t>
            </w:r>
          </w:p>
        </w:tc>
        <w:tc>
          <w:tcPr>
            <w:tcW w:w="600" w:type="dxa"/>
            <w:tcBorders>
              <w:top w:val="nil"/>
              <w:left w:val="single" w:sz="6" w:space="0" w:color="auto"/>
              <w:bottom w:val="nil"/>
              <w:right w:val="single" w:sz="6" w:space="0" w:color="auto"/>
            </w:tcBorders>
            <w:tcMar>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0</w:t>
            </w:r>
          </w:p>
        </w:tc>
      </w:tr>
      <w:tr w:rsidR="00211123" w:rsidRPr="00211123">
        <w:tc>
          <w:tcPr>
            <w:tcW w:w="343" w:type="dxa"/>
            <w:gridSpan w:val="2"/>
            <w:tcBorders>
              <w:top w:val="nil"/>
              <w:left w:val="single" w:sz="6" w:space="0" w:color="auto"/>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p>
        </w:tc>
        <w:tc>
          <w:tcPr>
            <w:tcW w:w="420" w:type="dxa"/>
            <w:tcBorders>
              <w:top w:val="nil"/>
              <w:left w:val="nil"/>
              <w:bottom w:val="nil"/>
              <w:right w:val="nil"/>
            </w:tcBorders>
            <w:tcMar>
              <w:left w:w="36" w:type="dxa"/>
            </w:tcMa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c)</w:t>
            </w:r>
          </w:p>
        </w:tc>
        <w:tc>
          <w:tcPr>
            <w:tcW w:w="8235" w:type="dxa"/>
            <w:gridSpan w:val="5"/>
            <w:tcBorders>
              <w:top w:val="nil"/>
              <w:left w:val="nil"/>
              <w:bottom w:val="nil"/>
              <w:right w:val="single" w:sz="6" w:space="0" w:color="auto"/>
            </w:tcBorders>
            <w:tcMar>
              <w:left w:w="36" w:type="dxa"/>
              <w:right w:w="51" w:type="dxa"/>
            </w:tcMar>
            <w:vAlign w:val="center"/>
          </w:tcPr>
          <w:p w:rsidR="00211123" w:rsidRPr="00211123" w:rsidRDefault="00211123" w:rsidP="00211123">
            <w:pPr>
              <w:widowControl w:val="0"/>
              <w:autoSpaceDE w:val="0"/>
              <w:autoSpaceDN w:val="0"/>
              <w:adjustRightInd w:val="0"/>
              <w:spacing w:after="0" w:line="240" w:lineRule="auto"/>
              <w:jc w:val="both"/>
              <w:rPr>
                <w:rFonts w:ascii="Arial" w:hAnsi="Arial" w:cs="Arial"/>
                <w:sz w:val="16"/>
                <w:szCs w:val="16"/>
              </w:rPr>
            </w:pPr>
            <w:r w:rsidRPr="00211123">
              <w:rPr>
                <w:rFonts w:ascii="Arial" w:hAnsi="Arial" w:cs="Arial"/>
                <w:sz w:val="16"/>
                <w:szCs w:val="16"/>
              </w:rPr>
              <w:t xml:space="preserve">la maggioranza, diretta o indiretta, dei diritti di voto nelle sedute degli organi decisionali, competenti a definire le scelte strategiche e le politiche di settore, </w:t>
            </w:r>
            <w:proofErr w:type="spellStart"/>
            <w:r w:rsidRPr="00211123">
              <w:rPr>
                <w:rFonts w:ascii="Arial" w:hAnsi="Arial" w:cs="Arial"/>
                <w:sz w:val="16"/>
                <w:szCs w:val="16"/>
              </w:rPr>
              <w:t>nonche'</w:t>
            </w:r>
            <w:proofErr w:type="spellEnd"/>
            <w:r w:rsidRPr="00211123">
              <w:rPr>
                <w:rFonts w:ascii="Arial" w:hAnsi="Arial" w:cs="Arial"/>
                <w:sz w:val="16"/>
                <w:szCs w:val="16"/>
              </w:rPr>
              <w:t xml:space="preserve"> a decidere in ordine all'indirizzo, alla pianificazione ed alla programmazione dell'</w:t>
            </w:r>
            <w:proofErr w:type="spellStart"/>
            <w:r w:rsidRPr="00211123">
              <w:rPr>
                <w:rFonts w:ascii="Arial" w:hAnsi="Arial" w:cs="Arial"/>
                <w:sz w:val="16"/>
                <w:szCs w:val="16"/>
              </w:rPr>
              <w:t>attivita</w:t>
            </w:r>
            <w:proofErr w:type="spellEnd"/>
            <w:r w:rsidRPr="00211123">
              <w:rPr>
                <w:rFonts w:ascii="Arial" w:hAnsi="Arial" w:cs="Arial"/>
                <w:sz w:val="16"/>
                <w:szCs w:val="16"/>
              </w:rPr>
              <w:t xml:space="preserve">' dell'ente o dell'azienda </w:t>
            </w:r>
          </w:p>
        </w:tc>
        <w:tc>
          <w:tcPr>
            <w:tcW w:w="600" w:type="dxa"/>
            <w:tcBorders>
              <w:top w:val="nil"/>
              <w:left w:val="single" w:sz="6" w:space="0" w:color="auto"/>
              <w:bottom w:val="nil"/>
              <w:right w:val="single" w:sz="6" w:space="0" w:color="auto"/>
            </w:tcBorders>
            <w:tcMar>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0</w:t>
            </w:r>
          </w:p>
        </w:tc>
      </w:tr>
      <w:tr w:rsidR="00211123" w:rsidRPr="00211123">
        <w:tc>
          <w:tcPr>
            <w:tcW w:w="343" w:type="dxa"/>
            <w:gridSpan w:val="2"/>
            <w:tcBorders>
              <w:top w:val="nil"/>
              <w:left w:val="single" w:sz="6" w:space="0" w:color="auto"/>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p>
        </w:tc>
        <w:tc>
          <w:tcPr>
            <w:tcW w:w="420" w:type="dxa"/>
            <w:tcBorders>
              <w:top w:val="nil"/>
              <w:left w:val="nil"/>
              <w:bottom w:val="nil"/>
              <w:right w:val="nil"/>
            </w:tcBorders>
            <w:tcMar>
              <w:left w:w="36" w:type="dxa"/>
            </w:tcMa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d)</w:t>
            </w:r>
          </w:p>
        </w:tc>
        <w:tc>
          <w:tcPr>
            <w:tcW w:w="8235" w:type="dxa"/>
            <w:gridSpan w:val="5"/>
            <w:tcBorders>
              <w:top w:val="nil"/>
              <w:left w:val="nil"/>
              <w:bottom w:val="nil"/>
              <w:right w:val="single" w:sz="6" w:space="0" w:color="auto"/>
            </w:tcBorders>
            <w:tcMar>
              <w:left w:w="36" w:type="dxa"/>
              <w:right w:w="51" w:type="dxa"/>
            </w:tcMar>
            <w:vAlign w:val="center"/>
          </w:tcPr>
          <w:p w:rsidR="00211123" w:rsidRPr="00211123" w:rsidRDefault="00211123" w:rsidP="00211123">
            <w:pPr>
              <w:widowControl w:val="0"/>
              <w:autoSpaceDE w:val="0"/>
              <w:autoSpaceDN w:val="0"/>
              <w:adjustRightInd w:val="0"/>
              <w:spacing w:after="0" w:line="240" w:lineRule="auto"/>
              <w:jc w:val="both"/>
              <w:rPr>
                <w:rFonts w:ascii="Arial" w:hAnsi="Arial" w:cs="Arial"/>
                <w:sz w:val="16"/>
                <w:szCs w:val="16"/>
              </w:rPr>
            </w:pPr>
            <w:r w:rsidRPr="00211123">
              <w:rPr>
                <w:rFonts w:ascii="Arial" w:hAnsi="Arial" w:cs="Arial"/>
                <w:sz w:val="16"/>
                <w:szCs w:val="16"/>
              </w:rPr>
              <w:t xml:space="preserve">l'obbligo di ripianare i disavanzi, nei casi consentiti dalla legge, per percentuali superiori alla propria quota di partecipazione </w:t>
            </w:r>
          </w:p>
        </w:tc>
        <w:tc>
          <w:tcPr>
            <w:tcW w:w="600" w:type="dxa"/>
            <w:tcBorders>
              <w:top w:val="nil"/>
              <w:left w:val="single" w:sz="6" w:space="0" w:color="auto"/>
              <w:bottom w:val="nil"/>
              <w:right w:val="single" w:sz="6" w:space="0" w:color="auto"/>
            </w:tcBorders>
            <w:tcMar>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0</w:t>
            </w:r>
          </w:p>
        </w:tc>
      </w:tr>
      <w:tr w:rsidR="00211123" w:rsidRPr="00211123">
        <w:tc>
          <w:tcPr>
            <w:tcW w:w="343" w:type="dxa"/>
            <w:gridSpan w:val="2"/>
            <w:tcBorders>
              <w:top w:val="nil"/>
              <w:left w:val="single" w:sz="6" w:space="0" w:color="auto"/>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p>
        </w:tc>
        <w:tc>
          <w:tcPr>
            <w:tcW w:w="420" w:type="dxa"/>
            <w:tcBorders>
              <w:top w:val="nil"/>
              <w:left w:val="nil"/>
              <w:bottom w:val="nil"/>
              <w:right w:val="nil"/>
            </w:tcBorders>
            <w:tcMar>
              <w:left w:w="36" w:type="dxa"/>
            </w:tcMa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e)</w:t>
            </w:r>
          </w:p>
        </w:tc>
        <w:tc>
          <w:tcPr>
            <w:tcW w:w="8235" w:type="dxa"/>
            <w:gridSpan w:val="5"/>
            <w:tcBorders>
              <w:top w:val="nil"/>
              <w:left w:val="nil"/>
              <w:bottom w:val="nil"/>
              <w:right w:val="single" w:sz="6" w:space="0" w:color="auto"/>
            </w:tcBorders>
            <w:tcMar>
              <w:left w:w="36" w:type="dxa"/>
              <w:right w:w="51" w:type="dxa"/>
            </w:tcMar>
            <w:vAlign w:val="center"/>
          </w:tcPr>
          <w:p w:rsidR="00211123" w:rsidRPr="00211123" w:rsidRDefault="00211123" w:rsidP="00211123">
            <w:pPr>
              <w:widowControl w:val="0"/>
              <w:autoSpaceDE w:val="0"/>
              <w:autoSpaceDN w:val="0"/>
              <w:adjustRightInd w:val="0"/>
              <w:spacing w:after="0" w:line="240" w:lineRule="auto"/>
              <w:jc w:val="both"/>
              <w:rPr>
                <w:rFonts w:ascii="Arial" w:hAnsi="Arial" w:cs="Arial"/>
                <w:sz w:val="16"/>
                <w:szCs w:val="16"/>
              </w:rPr>
            </w:pPr>
            <w:r w:rsidRPr="00211123">
              <w:rPr>
                <w:rFonts w:ascii="Arial" w:hAnsi="Arial" w:cs="Arial"/>
                <w:sz w:val="16"/>
                <w:szCs w:val="16"/>
              </w:rPr>
              <w:t xml:space="preserve">un'influenza dominante in </w:t>
            </w:r>
            <w:proofErr w:type="spellStart"/>
            <w:r w:rsidRPr="00211123">
              <w:rPr>
                <w:rFonts w:ascii="Arial" w:hAnsi="Arial" w:cs="Arial"/>
                <w:sz w:val="16"/>
                <w:szCs w:val="16"/>
              </w:rPr>
              <w:t>virtu'</w:t>
            </w:r>
            <w:proofErr w:type="spellEnd"/>
            <w:r w:rsidRPr="00211123">
              <w:rPr>
                <w:rFonts w:ascii="Arial" w:hAnsi="Arial" w:cs="Arial"/>
                <w:sz w:val="16"/>
                <w:szCs w:val="16"/>
              </w:rPr>
              <w:t xml:space="preserve"> di contratti o clausole statutarie, nei casi in cui la legge consente tali contratti o clausole. I contratti di servizio pubblico e di concessione, stipulati con enti o aziende che svolgono prevalentemente l'</w:t>
            </w:r>
            <w:proofErr w:type="spellStart"/>
            <w:r w:rsidRPr="00211123">
              <w:rPr>
                <w:rFonts w:ascii="Arial" w:hAnsi="Arial" w:cs="Arial"/>
                <w:sz w:val="16"/>
                <w:szCs w:val="16"/>
              </w:rPr>
              <w:t>attivita</w:t>
            </w:r>
            <w:proofErr w:type="spellEnd"/>
            <w:r w:rsidRPr="00211123">
              <w:rPr>
                <w:rFonts w:ascii="Arial" w:hAnsi="Arial" w:cs="Arial"/>
                <w:sz w:val="16"/>
                <w:szCs w:val="16"/>
              </w:rPr>
              <w:t>' oggetto di tali contratti, comportano l'esercizio di influenza dominante</w:t>
            </w:r>
          </w:p>
        </w:tc>
        <w:tc>
          <w:tcPr>
            <w:tcW w:w="600" w:type="dxa"/>
            <w:tcBorders>
              <w:top w:val="nil"/>
              <w:left w:val="single" w:sz="6" w:space="0" w:color="auto"/>
              <w:bottom w:val="nil"/>
              <w:right w:val="single" w:sz="6" w:space="0" w:color="auto"/>
            </w:tcBorders>
            <w:tcMar>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0</w:t>
            </w:r>
          </w:p>
        </w:tc>
      </w:tr>
      <w:tr w:rsidR="00211123" w:rsidRPr="00211123">
        <w:tc>
          <w:tcPr>
            <w:tcW w:w="8439" w:type="dxa"/>
            <w:gridSpan w:val="5"/>
            <w:tcBorders>
              <w:top w:val="nil"/>
              <w:left w:val="single" w:sz="6" w:space="0" w:color="auto"/>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r w:rsidRPr="00211123">
              <w:rPr>
                <w:rFonts w:ascii="Arial" w:hAnsi="Arial" w:cs="Arial"/>
                <w:b/>
                <w:bCs/>
                <w:sz w:val="16"/>
                <w:szCs w:val="16"/>
              </w:rPr>
              <w:t xml:space="preserve">- partecipato (art. 11 </w:t>
            </w:r>
            <w:proofErr w:type="spellStart"/>
            <w:r w:rsidRPr="00211123">
              <w:rPr>
                <w:rFonts w:ascii="Arial" w:hAnsi="Arial" w:cs="Arial"/>
                <w:b/>
                <w:bCs/>
                <w:sz w:val="16"/>
                <w:szCs w:val="16"/>
              </w:rPr>
              <w:t>ter</w:t>
            </w:r>
            <w:proofErr w:type="spellEnd"/>
            <w:r w:rsidRPr="00211123">
              <w:rPr>
                <w:rFonts w:ascii="Arial" w:hAnsi="Arial" w:cs="Arial"/>
                <w:b/>
                <w:bCs/>
                <w:sz w:val="16"/>
                <w:szCs w:val="16"/>
              </w:rPr>
              <w:t xml:space="preserve"> </w:t>
            </w:r>
            <w:proofErr w:type="spellStart"/>
            <w:r w:rsidRPr="00211123">
              <w:rPr>
                <w:rFonts w:ascii="Arial" w:hAnsi="Arial" w:cs="Arial"/>
                <w:b/>
                <w:bCs/>
                <w:sz w:val="16"/>
                <w:szCs w:val="16"/>
              </w:rPr>
              <w:t>co</w:t>
            </w:r>
            <w:proofErr w:type="spellEnd"/>
            <w:r w:rsidRPr="00211123">
              <w:rPr>
                <w:rFonts w:ascii="Arial" w:hAnsi="Arial" w:cs="Arial"/>
                <w:b/>
                <w:bCs/>
                <w:sz w:val="16"/>
                <w:szCs w:val="16"/>
              </w:rPr>
              <w:t>. 2)</w:t>
            </w:r>
          </w:p>
        </w:tc>
        <w:tc>
          <w:tcPr>
            <w:tcW w:w="272" w:type="dxa"/>
            <w:gridSpan w:val="2"/>
            <w:tcBorders>
              <w:top w:val="nil"/>
              <w:left w:val="nil"/>
              <w:bottom w:val="nil"/>
              <w:right w:val="nil"/>
            </w:tcBorders>
            <w:tcMar>
              <w:left w:w="36" w:type="dxa"/>
            </w:tcMa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p>
        </w:tc>
        <w:tc>
          <w:tcPr>
            <w:tcW w:w="287" w:type="dxa"/>
            <w:tcBorders>
              <w:top w:val="nil"/>
              <w:left w:val="nil"/>
              <w:bottom w:val="nil"/>
              <w:right w:val="single" w:sz="6" w:space="0" w:color="auto"/>
            </w:tcBorders>
            <w:tcMar>
              <w:left w:w="36" w:type="dxa"/>
              <w:right w:w="51" w:type="dxa"/>
            </w:tcMar>
            <w:vAlign w:val="center"/>
          </w:tcPr>
          <w:p w:rsidR="00211123" w:rsidRPr="00211123" w:rsidRDefault="00211123" w:rsidP="00211123">
            <w:pPr>
              <w:widowControl w:val="0"/>
              <w:autoSpaceDE w:val="0"/>
              <w:autoSpaceDN w:val="0"/>
              <w:adjustRightInd w:val="0"/>
              <w:spacing w:after="0" w:line="240" w:lineRule="auto"/>
              <w:jc w:val="both"/>
              <w:rPr>
                <w:rFonts w:ascii="Arial" w:hAnsi="Arial" w:cs="Arial"/>
                <w:b/>
                <w:bCs/>
                <w:sz w:val="16"/>
                <w:szCs w:val="16"/>
              </w:rPr>
            </w:pPr>
          </w:p>
        </w:tc>
        <w:tc>
          <w:tcPr>
            <w:tcW w:w="600" w:type="dxa"/>
            <w:tcBorders>
              <w:top w:val="nil"/>
              <w:left w:val="single" w:sz="6" w:space="0" w:color="auto"/>
              <w:bottom w:val="nil"/>
              <w:right w:val="single" w:sz="6" w:space="0" w:color="auto"/>
            </w:tcBorders>
            <w:tcMar>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p>
        </w:tc>
      </w:tr>
      <w:tr w:rsidR="00211123" w:rsidRPr="00211123">
        <w:tc>
          <w:tcPr>
            <w:tcW w:w="343" w:type="dxa"/>
            <w:gridSpan w:val="2"/>
            <w:tcBorders>
              <w:top w:val="nil"/>
              <w:left w:val="single" w:sz="6" w:space="0" w:color="auto"/>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p>
        </w:tc>
        <w:tc>
          <w:tcPr>
            <w:tcW w:w="8368" w:type="dxa"/>
            <w:gridSpan w:val="5"/>
            <w:tcBorders>
              <w:top w:val="nil"/>
              <w:left w:val="nil"/>
              <w:bottom w:val="nil"/>
              <w:right w:val="nil"/>
            </w:tcBorders>
            <w:tcMar>
              <w:left w:w="36" w:type="dxa"/>
            </w:tcMar>
          </w:tcPr>
          <w:p w:rsidR="00211123" w:rsidRPr="00211123" w:rsidRDefault="00211123" w:rsidP="00211123">
            <w:pPr>
              <w:widowControl w:val="0"/>
              <w:autoSpaceDE w:val="0"/>
              <w:autoSpaceDN w:val="0"/>
              <w:adjustRightInd w:val="0"/>
              <w:spacing w:after="0" w:line="240" w:lineRule="auto"/>
              <w:jc w:val="both"/>
              <w:rPr>
                <w:rFonts w:ascii="Arial" w:hAnsi="Arial" w:cs="Arial"/>
                <w:sz w:val="16"/>
                <w:szCs w:val="16"/>
              </w:rPr>
            </w:pPr>
            <w:r w:rsidRPr="00211123">
              <w:rPr>
                <w:rFonts w:ascii="Arial" w:hAnsi="Arial" w:cs="Arial"/>
                <w:sz w:val="16"/>
                <w:szCs w:val="16"/>
              </w:rPr>
              <w:t>Ente pubblico o privato partecipato in assenza di almeno una delle condizioni di cui il comma 1</w:t>
            </w:r>
          </w:p>
        </w:tc>
        <w:tc>
          <w:tcPr>
            <w:tcW w:w="287" w:type="dxa"/>
            <w:tcBorders>
              <w:top w:val="nil"/>
              <w:left w:val="nil"/>
              <w:bottom w:val="nil"/>
              <w:right w:val="single" w:sz="6" w:space="0" w:color="auto"/>
            </w:tcBorders>
            <w:tcMar>
              <w:left w:w="36" w:type="dxa"/>
              <w:right w:w="51" w:type="dxa"/>
            </w:tcMar>
            <w:vAlign w:val="center"/>
          </w:tcPr>
          <w:p w:rsidR="00211123" w:rsidRPr="00211123" w:rsidRDefault="00211123" w:rsidP="00211123">
            <w:pPr>
              <w:widowControl w:val="0"/>
              <w:autoSpaceDE w:val="0"/>
              <w:autoSpaceDN w:val="0"/>
              <w:adjustRightInd w:val="0"/>
              <w:spacing w:after="0" w:line="240" w:lineRule="auto"/>
              <w:jc w:val="both"/>
              <w:rPr>
                <w:rFonts w:ascii="Arial" w:hAnsi="Arial" w:cs="Arial"/>
                <w:sz w:val="16"/>
                <w:szCs w:val="16"/>
              </w:rPr>
            </w:pPr>
          </w:p>
        </w:tc>
        <w:tc>
          <w:tcPr>
            <w:tcW w:w="600" w:type="dxa"/>
            <w:tcBorders>
              <w:top w:val="nil"/>
              <w:left w:val="single" w:sz="6" w:space="0" w:color="auto"/>
              <w:bottom w:val="nil"/>
              <w:right w:val="single" w:sz="6" w:space="0" w:color="auto"/>
            </w:tcBorders>
            <w:tcMar>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1</w:t>
            </w:r>
          </w:p>
        </w:tc>
      </w:tr>
      <w:tr w:rsidR="00211123" w:rsidRPr="00211123">
        <w:tc>
          <w:tcPr>
            <w:tcW w:w="8439" w:type="dxa"/>
            <w:gridSpan w:val="5"/>
            <w:tcBorders>
              <w:top w:val="single" w:sz="6" w:space="0" w:color="auto"/>
              <w:left w:val="single" w:sz="6" w:space="0" w:color="auto"/>
              <w:bottom w:val="single" w:sz="6" w:space="0" w:color="auto"/>
              <w:right w:val="nil"/>
            </w:tcBorders>
            <w:shd w:val="clear" w:color="auto" w:fill="E6E6E6"/>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r w:rsidRPr="00211123">
              <w:rPr>
                <w:rFonts w:ascii="Arial" w:hAnsi="Arial" w:cs="Arial"/>
                <w:b/>
                <w:bCs/>
                <w:sz w:val="16"/>
                <w:szCs w:val="16"/>
              </w:rPr>
              <w:t xml:space="preserve">Società </w:t>
            </w:r>
          </w:p>
        </w:tc>
        <w:tc>
          <w:tcPr>
            <w:tcW w:w="272" w:type="dxa"/>
            <w:gridSpan w:val="2"/>
            <w:tcBorders>
              <w:top w:val="single" w:sz="6" w:space="0" w:color="auto"/>
              <w:left w:val="nil"/>
              <w:bottom w:val="single" w:sz="6" w:space="0" w:color="auto"/>
              <w:right w:val="nil"/>
            </w:tcBorders>
            <w:shd w:val="clear" w:color="auto" w:fill="E6E6E6"/>
            <w:tcMar>
              <w:left w:w="36" w:type="dxa"/>
            </w:tcMar>
          </w:tcPr>
          <w:p w:rsidR="00211123" w:rsidRPr="00211123" w:rsidRDefault="00211123" w:rsidP="00211123">
            <w:pPr>
              <w:widowControl w:val="0"/>
              <w:autoSpaceDE w:val="0"/>
              <w:autoSpaceDN w:val="0"/>
              <w:adjustRightInd w:val="0"/>
              <w:spacing w:after="0" w:line="240" w:lineRule="auto"/>
              <w:jc w:val="both"/>
              <w:rPr>
                <w:rFonts w:ascii="Arial" w:hAnsi="Arial" w:cs="Arial"/>
                <w:b/>
                <w:bCs/>
                <w:sz w:val="16"/>
                <w:szCs w:val="16"/>
              </w:rPr>
            </w:pPr>
          </w:p>
        </w:tc>
        <w:tc>
          <w:tcPr>
            <w:tcW w:w="287" w:type="dxa"/>
            <w:tcBorders>
              <w:top w:val="single" w:sz="6" w:space="0" w:color="auto"/>
              <w:left w:val="nil"/>
              <w:bottom w:val="single" w:sz="6" w:space="0" w:color="auto"/>
              <w:right w:val="single" w:sz="6" w:space="0" w:color="auto"/>
            </w:tcBorders>
            <w:shd w:val="clear" w:color="auto" w:fill="E6E6E6"/>
            <w:tcMar>
              <w:left w:w="36" w:type="dxa"/>
              <w:right w:w="51" w:type="dxa"/>
            </w:tcMar>
            <w:vAlign w:val="center"/>
          </w:tcPr>
          <w:p w:rsidR="00211123" w:rsidRPr="00211123" w:rsidRDefault="00211123" w:rsidP="00211123">
            <w:pPr>
              <w:widowControl w:val="0"/>
              <w:autoSpaceDE w:val="0"/>
              <w:autoSpaceDN w:val="0"/>
              <w:adjustRightInd w:val="0"/>
              <w:spacing w:after="0" w:line="240" w:lineRule="auto"/>
              <w:jc w:val="both"/>
              <w:rPr>
                <w:rFonts w:ascii="Arial" w:hAnsi="Arial" w:cs="Arial"/>
                <w:b/>
                <w:bCs/>
                <w:sz w:val="16"/>
                <w:szCs w:val="16"/>
              </w:rPr>
            </w:pPr>
          </w:p>
        </w:tc>
        <w:tc>
          <w:tcPr>
            <w:tcW w:w="600" w:type="dxa"/>
            <w:tcBorders>
              <w:top w:val="single" w:sz="6" w:space="0" w:color="auto"/>
              <w:left w:val="single" w:sz="6" w:space="0" w:color="auto"/>
              <w:bottom w:val="single" w:sz="6" w:space="0" w:color="auto"/>
              <w:right w:val="single" w:sz="6" w:space="0" w:color="auto"/>
            </w:tcBorders>
            <w:shd w:val="clear" w:color="auto" w:fill="E6E6E6"/>
            <w:tcMar>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N</w:t>
            </w:r>
          </w:p>
        </w:tc>
      </w:tr>
      <w:tr w:rsidR="00211123" w:rsidRPr="00211123">
        <w:tc>
          <w:tcPr>
            <w:tcW w:w="8439" w:type="dxa"/>
            <w:gridSpan w:val="5"/>
            <w:tcBorders>
              <w:top w:val="single" w:sz="6" w:space="0" w:color="auto"/>
              <w:left w:val="single" w:sz="6" w:space="0" w:color="auto"/>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r w:rsidRPr="00211123">
              <w:rPr>
                <w:rFonts w:ascii="Arial" w:hAnsi="Arial" w:cs="Arial"/>
                <w:b/>
                <w:bCs/>
                <w:sz w:val="16"/>
                <w:szCs w:val="16"/>
              </w:rPr>
              <w:t xml:space="preserve">- controllata (art. 11 </w:t>
            </w:r>
            <w:proofErr w:type="spellStart"/>
            <w:r w:rsidRPr="00211123">
              <w:rPr>
                <w:rFonts w:ascii="Arial" w:hAnsi="Arial" w:cs="Arial"/>
                <w:b/>
                <w:bCs/>
                <w:sz w:val="16"/>
                <w:szCs w:val="16"/>
              </w:rPr>
              <w:t>quater</w:t>
            </w:r>
            <w:proofErr w:type="spellEnd"/>
            <w:r w:rsidRPr="00211123">
              <w:rPr>
                <w:rFonts w:ascii="Arial" w:hAnsi="Arial" w:cs="Arial"/>
                <w:b/>
                <w:bCs/>
                <w:sz w:val="16"/>
                <w:szCs w:val="16"/>
              </w:rPr>
              <w:t>)</w:t>
            </w:r>
          </w:p>
        </w:tc>
        <w:tc>
          <w:tcPr>
            <w:tcW w:w="272" w:type="dxa"/>
            <w:gridSpan w:val="2"/>
            <w:tcBorders>
              <w:top w:val="single" w:sz="6" w:space="0" w:color="auto"/>
              <w:left w:val="nil"/>
              <w:bottom w:val="nil"/>
              <w:right w:val="nil"/>
            </w:tcBorders>
            <w:tcMar>
              <w:left w:w="36" w:type="dxa"/>
            </w:tcMar>
          </w:tcPr>
          <w:p w:rsidR="00211123" w:rsidRPr="00211123" w:rsidRDefault="00211123" w:rsidP="00211123">
            <w:pPr>
              <w:widowControl w:val="0"/>
              <w:autoSpaceDE w:val="0"/>
              <w:autoSpaceDN w:val="0"/>
              <w:adjustRightInd w:val="0"/>
              <w:spacing w:after="0" w:line="240" w:lineRule="auto"/>
              <w:jc w:val="both"/>
              <w:rPr>
                <w:rFonts w:ascii="Arial" w:hAnsi="Arial" w:cs="Arial"/>
                <w:b/>
                <w:bCs/>
                <w:sz w:val="16"/>
                <w:szCs w:val="16"/>
              </w:rPr>
            </w:pPr>
          </w:p>
        </w:tc>
        <w:tc>
          <w:tcPr>
            <w:tcW w:w="287" w:type="dxa"/>
            <w:tcBorders>
              <w:top w:val="single" w:sz="6" w:space="0" w:color="auto"/>
              <w:left w:val="nil"/>
              <w:bottom w:val="nil"/>
              <w:right w:val="single" w:sz="6" w:space="0" w:color="auto"/>
            </w:tcBorders>
            <w:tcMar>
              <w:left w:w="36" w:type="dxa"/>
              <w:right w:w="51" w:type="dxa"/>
            </w:tcMar>
            <w:vAlign w:val="center"/>
          </w:tcPr>
          <w:p w:rsidR="00211123" w:rsidRPr="00211123" w:rsidRDefault="00211123" w:rsidP="00211123">
            <w:pPr>
              <w:widowControl w:val="0"/>
              <w:autoSpaceDE w:val="0"/>
              <w:autoSpaceDN w:val="0"/>
              <w:adjustRightInd w:val="0"/>
              <w:spacing w:after="0" w:line="240" w:lineRule="auto"/>
              <w:jc w:val="both"/>
              <w:rPr>
                <w:rFonts w:ascii="Arial" w:hAnsi="Arial" w:cs="Arial"/>
                <w:b/>
                <w:bCs/>
                <w:sz w:val="16"/>
                <w:szCs w:val="16"/>
              </w:rPr>
            </w:pPr>
          </w:p>
        </w:tc>
        <w:tc>
          <w:tcPr>
            <w:tcW w:w="600" w:type="dxa"/>
            <w:tcBorders>
              <w:top w:val="single" w:sz="6" w:space="0" w:color="auto"/>
              <w:left w:val="single" w:sz="6" w:space="0" w:color="auto"/>
              <w:bottom w:val="nil"/>
              <w:right w:val="single" w:sz="6" w:space="0" w:color="auto"/>
            </w:tcBorders>
            <w:tcMar>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p>
        </w:tc>
      </w:tr>
      <w:tr w:rsidR="00211123" w:rsidRPr="00211123">
        <w:tc>
          <w:tcPr>
            <w:tcW w:w="343" w:type="dxa"/>
            <w:gridSpan w:val="2"/>
            <w:tcBorders>
              <w:top w:val="nil"/>
              <w:left w:val="single" w:sz="6" w:space="0" w:color="auto"/>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p>
        </w:tc>
        <w:tc>
          <w:tcPr>
            <w:tcW w:w="420" w:type="dxa"/>
            <w:tcBorders>
              <w:top w:val="nil"/>
              <w:left w:val="nil"/>
              <w:bottom w:val="nil"/>
              <w:right w:val="nil"/>
            </w:tcBorders>
            <w:tcMar>
              <w:left w:w="36" w:type="dxa"/>
            </w:tcMa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a)</w:t>
            </w:r>
          </w:p>
        </w:tc>
        <w:tc>
          <w:tcPr>
            <w:tcW w:w="8235" w:type="dxa"/>
            <w:gridSpan w:val="5"/>
            <w:tcBorders>
              <w:top w:val="nil"/>
              <w:left w:val="nil"/>
              <w:bottom w:val="nil"/>
              <w:right w:val="single" w:sz="6" w:space="0" w:color="auto"/>
            </w:tcBorders>
            <w:tcMar>
              <w:left w:w="36" w:type="dxa"/>
              <w:right w:w="51" w:type="dxa"/>
            </w:tcMar>
            <w:vAlign w:val="center"/>
          </w:tcPr>
          <w:p w:rsidR="00211123" w:rsidRPr="00211123" w:rsidRDefault="00211123" w:rsidP="00211123">
            <w:pPr>
              <w:widowControl w:val="0"/>
              <w:autoSpaceDE w:val="0"/>
              <w:autoSpaceDN w:val="0"/>
              <w:adjustRightInd w:val="0"/>
              <w:spacing w:after="0" w:line="240" w:lineRule="auto"/>
              <w:jc w:val="both"/>
              <w:rPr>
                <w:rFonts w:ascii="Arial" w:hAnsi="Arial" w:cs="Arial"/>
                <w:sz w:val="16"/>
                <w:szCs w:val="16"/>
              </w:rPr>
            </w:pPr>
            <w:r w:rsidRPr="00211123">
              <w:rPr>
                <w:rFonts w:ascii="Arial" w:hAnsi="Arial" w:cs="Arial"/>
                <w:sz w:val="16"/>
                <w:szCs w:val="16"/>
              </w:rPr>
              <w:t>il possesso, diretto o indiretto, anche sulla scorta di patti parasociali, della maggioranza dei voti esercitabili nell'assemblea ordinaria o dispone di voti sufficienti per esercitare una influenza dominante sull'assemblea ordinaria</w:t>
            </w:r>
          </w:p>
        </w:tc>
        <w:tc>
          <w:tcPr>
            <w:tcW w:w="600" w:type="dxa"/>
            <w:tcBorders>
              <w:top w:val="nil"/>
              <w:left w:val="single" w:sz="6" w:space="0" w:color="auto"/>
              <w:bottom w:val="nil"/>
              <w:right w:val="single" w:sz="6" w:space="0" w:color="auto"/>
            </w:tcBorders>
            <w:tcMar>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3</w:t>
            </w:r>
          </w:p>
        </w:tc>
      </w:tr>
      <w:tr w:rsidR="00211123" w:rsidRPr="00211123">
        <w:tc>
          <w:tcPr>
            <w:tcW w:w="343" w:type="dxa"/>
            <w:gridSpan w:val="2"/>
            <w:tcBorders>
              <w:top w:val="nil"/>
              <w:left w:val="single" w:sz="6" w:space="0" w:color="auto"/>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p>
        </w:tc>
        <w:tc>
          <w:tcPr>
            <w:tcW w:w="420" w:type="dxa"/>
            <w:tcBorders>
              <w:top w:val="nil"/>
              <w:left w:val="nil"/>
              <w:bottom w:val="nil"/>
              <w:right w:val="nil"/>
            </w:tcBorders>
            <w:tcMar>
              <w:left w:w="36" w:type="dxa"/>
            </w:tcMa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b)</w:t>
            </w:r>
          </w:p>
        </w:tc>
        <w:tc>
          <w:tcPr>
            <w:tcW w:w="8235" w:type="dxa"/>
            <w:gridSpan w:val="5"/>
            <w:tcBorders>
              <w:top w:val="nil"/>
              <w:left w:val="nil"/>
              <w:bottom w:val="nil"/>
              <w:right w:val="single" w:sz="6" w:space="0" w:color="auto"/>
            </w:tcBorders>
            <w:tcMar>
              <w:left w:w="36" w:type="dxa"/>
              <w:right w:w="51" w:type="dxa"/>
            </w:tcMar>
            <w:vAlign w:val="center"/>
          </w:tcPr>
          <w:p w:rsidR="00211123" w:rsidRPr="00211123" w:rsidRDefault="00211123" w:rsidP="00211123">
            <w:pPr>
              <w:widowControl w:val="0"/>
              <w:autoSpaceDE w:val="0"/>
              <w:autoSpaceDN w:val="0"/>
              <w:adjustRightInd w:val="0"/>
              <w:spacing w:after="0" w:line="240" w:lineRule="auto"/>
              <w:jc w:val="both"/>
              <w:rPr>
                <w:rFonts w:ascii="Arial" w:hAnsi="Arial" w:cs="Arial"/>
                <w:sz w:val="16"/>
                <w:szCs w:val="16"/>
              </w:rPr>
            </w:pPr>
            <w:r w:rsidRPr="00211123">
              <w:rPr>
                <w:rFonts w:ascii="Arial" w:hAnsi="Arial" w:cs="Arial"/>
                <w:sz w:val="16"/>
                <w:szCs w:val="16"/>
              </w:rPr>
              <w:t xml:space="preserve">il diritto, in </w:t>
            </w:r>
            <w:proofErr w:type="spellStart"/>
            <w:r w:rsidRPr="00211123">
              <w:rPr>
                <w:rFonts w:ascii="Arial" w:hAnsi="Arial" w:cs="Arial"/>
                <w:sz w:val="16"/>
                <w:szCs w:val="16"/>
              </w:rPr>
              <w:t>virtu'</w:t>
            </w:r>
            <w:proofErr w:type="spellEnd"/>
            <w:r w:rsidRPr="00211123">
              <w:rPr>
                <w:rFonts w:ascii="Arial" w:hAnsi="Arial" w:cs="Arial"/>
                <w:sz w:val="16"/>
                <w:szCs w:val="16"/>
              </w:rPr>
              <w:t xml:space="preserve"> di un contratto o di una clausola statutaria, di esercitare un'influenza dominante, quando la legge consente tali contratti o clausole. I contratti di servizio pubblico e gli atti di concessione stipulati con </w:t>
            </w:r>
            <w:proofErr w:type="spellStart"/>
            <w:r w:rsidRPr="00211123">
              <w:rPr>
                <w:rFonts w:ascii="Arial" w:hAnsi="Arial" w:cs="Arial"/>
                <w:sz w:val="16"/>
                <w:szCs w:val="16"/>
              </w:rPr>
              <w:t>societa'</w:t>
            </w:r>
            <w:proofErr w:type="spellEnd"/>
            <w:r w:rsidRPr="00211123">
              <w:rPr>
                <w:rFonts w:ascii="Arial" w:hAnsi="Arial" w:cs="Arial"/>
                <w:sz w:val="16"/>
                <w:szCs w:val="16"/>
              </w:rPr>
              <w:t xml:space="preserve"> che svolgono prevalentemente l'</w:t>
            </w:r>
            <w:proofErr w:type="spellStart"/>
            <w:r w:rsidRPr="00211123">
              <w:rPr>
                <w:rFonts w:ascii="Arial" w:hAnsi="Arial" w:cs="Arial"/>
                <w:sz w:val="16"/>
                <w:szCs w:val="16"/>
              </w:rPr>
              <w:t>attivita</w:t>
            </w:r>
            <w:proofErr w:type="spellEnd"/>
            <w:r w:rsidRPr="00211123">
              <w:rPr>
                <w:rFonts w:ascii="Arial" w:hAnsi="Arial" w:cs="Arial"/>
                <w:sz w:val="16"/>
                <w:szCs w:val="16"/>
              </w:rPr>
              <w:t>' oggetto di tali contratti comportano l'esercizio di influenza dominante</w:t>
            </w:r>
          </w:p>
        </w:tc>
        <w:tc>
          <w:tcPr>
            <w:tcW w:w="600" w:type="dxa"/>
            <w:tcBorders>
              <w:top w:val="nil"/>
              <w:left w:val="single" w:sz="6" w:space="0" w:color="auto"/>
              <w:bottom w:val="nil"/>
              <w:right w:val="single" w:sz="6" w:space="0" w:color="auto"/>
            </w:tcBorders>
            <w:tcMar>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0</w:t>
            </w:r>
          </w:p>
        </w:tc>
      </w:tr>
      <w:tr w:rsidR="00211123" w:rsidRPr="00211123">
        <w:tc>
          <w:tcPr>
            <w:tcW w:w="8439" w:type="dxa"/>
            <w:gridSpan w:val="5"/>
            <w:tcBorders>
              <w:top w:val="nil"/>
              <w:left w:val="single" w:sz="6" w:space="0" w:color="auto"/>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r w:rsidRPr="00211123">
              <w:rPr>
                <w:rFonts w:ascii="Arial" w:hAnsi="Arial" w:cs="Arial"/>
                <w:b/>
                <w:bCs/>
                <w:sz w:val="16"/>
                <w:szCs w:val="16"/>
              </w:rPr>
              <w:t xml:space="preserve">- partecipata (art. 11 </w:t>
            </w:r>
            <w:proofErr w:type="spellStart"/>
            <w:r w:rsidRPr="00211123">
              <w:rPr>
                <w:rFonts w:ascii="Arial" w:hAnsi="Arial" w:cs="Arial"/>
                <w:b/>
                <w:bCs/>
                <w:sz w:val="16"/>
                <w:szCs w:val="16"/>
              </w:rPr>
              <w:t>quinques</w:t>
            </w:r>
            <w:proofErr w:type="spellEnd"/>
            <w:r w:rsidRPr="00211123">
              <w:rPr>
                <w:rFonts w:ascii="Arial" w:hAnsi="Arial" w:cs="Arial"/>
                <w:b/>
                <w:bCs/>
                <w:sz w:val="16"/>
                <w:szCs w:val="16"/>
              </w:rPr>
              <w:t>)</w:t>
            </w:r>
          </w:p>
        </w:tc>
        <w:tc>
          <w:tcPr>
            <w:tcW w:w="272" w:type="dxa"/>
            <w:gridSpan w:val="2"/>
            <w:tcBorders>
              <w:top w:val="nil"/>
              <w:left w:val="nil"/>
              <w:bottom w:val="nil"/>
              <w:right w:val="nil"/>
            </w:tcBorders>
            <w:tcMar>
              <w:left w:w="36" w:type="dxa"/>
            </w:tcMa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p>
        </w:tc>
        <w:tc>
          <w:tcPr>
            <w:tcW w:w="287" w:type="dxa"/>
            <w:tcBorders>
              <w:top w:val="nil"/>
              <w:left w:val="nil"/>
              <w:bottom w:val="nil"/>
              <w:right w:val="single" w:sz="6" w:space="0" w:color="auto"/>
            </w:tcBorders>
            <w:tcMar>
              <w:left w:w="36" w:type="dxa"/>
              <w:right w:w="51" w:type="dxa"/>
            </w:tcMar>
            <w:vAlign w:val="center"/>
          </w:tcPr>
          <w:p w:rsidR="00211123" w:rsidRPr="00211123" w:rsidRDefault="00211123" w:rsidP="00211123">
            <w:pPr>
              <w:widowControl w:val="0"/>
              <w:autoSpaceDE w:val="0"/>
              <w:autoSpaceDN w:val="0"/>
              <w:adjustRightInd w:val="0"/>
              <w:spacing w:after="0" w:line="240" w:lineRule="auto"/>
              <w:jc w:val="both"/>
              <w:rPr>
                <w:rFonts w:ascii="Arial" w:hAnsi="Arial" w:cs="Arial"/>
                <w:b/>
                <w:bCs/>
                <w:sz w:val="16"/>
                <w:szCs w:val="16"/>
              </w:rPr>
            </w:pPr>
          </w:p>
        </w:tc>
        <w:tc>
          <w:tcPr>
            <w:tcW w:w="600" w:type="dxa"/>
            <w:tcBorders>
              <w:top w:val="nil"/>
              <w:left w:val="single" w:sz="6" w:space="0" w:color="auto"/>
              <w:bottom w:val="nil"/>
              <w:right w:val="single" w:sz="6" w:space="0" w:color="auto"/>
            </w:tcBorders>
            <w:tcMar>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p>
        </w:tc>
      </w:tr>
      <w:tr w:rsidR="00211123" w:rsidRPr="00211123">
        <w:tc>
          <w:tcPr>
            <w:tcW w:w="343" w:type="dxa"/>
            <w:gridSpan w:val="2"/>
            <w:tcBorders>
              <w:top w:val="nil"/>
              <w:left w:val="single" w:sz="6" w:space="0" w:color="auto"/>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p>
        </w:tc>
        <w:tc>
          <w:tcPr>
            <w:tcW w:w="420" w:type="dxa"/>
            <w:tcBorders>
              <w:top w:val="nil"/>
              <w:left w:val="nil"/>
              <w:bottom w:val="nil"/>
              <w:right w:val="nil"/>
            </w:tcBorders>
            <w:tcMar>
              <w:left w:w="36" w:type="dxa"/>
            </w:tcMa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w:t>
            </w:r>
          </w:p>
        </w:tc>
        <w:tc>
          <w:tcPr>
            <w:tcW w:w="8235" w:type="dxa"/>
            <w:gridSpan w:val="5"/>
            <w:tcBorders>
              <w:top w:val="nil"/>
              <w:left w:val="nil"/>
              <w:bottom w:val="nil"/>
              <w:right w:val="single" w:sz="6" w:space="0" w:color="auto"/>
            </w:tcBorders>
            <w:tcMar>
              <w:left w:w="36" w:type="dxa"/>
              <w:right w:w="51" w:type="dxa"/>
            </w:tcMar>
            <w:vAlign w:val="center"/>
          </w:tcPr>
          <w:p w:rsidR="00211123" w:rsidRPr="00211123" w:rsidRDefault="00211123" w:rsidP="00211123">
            <w:pPr>
              <w:widowControl w:val="0"/>
              <w:autoSpaceDE w:val="0"/>
              <w:autoSpaceDN w:val="0"/>
              <w:adjustRightInd w:val="0"/>
              <w:spacing w:after="0" w:line="240" w:lineRule="auto"/>
              <w:jc w:val="both"/>
              <w:rPr>
                <w:rFonts w:ascii="Arial" w:hAnsi="Arial" w:cs="Arial"/>
                <w:sz w:val="16"/>
                <w:szCs w:val="16"/>
              </w:rPr>
            </w:pPr>
            <w:r w:rsidRPr="00211123">
              <w:rPr>
                <w:rFonts w:ascii="Arial" w:hAnsi="Arial" w:cs="Arial"/>
                <w:sz w:val="16"/>
                <w:szCs w:val="16"/>
              </w:rPr>
              <w:t xml:space="preserve">costituite dalle società a totale partecipazione pubblica affidatarie dirette di servizi pubblici locali della regione o dell’ente locale indipendentemente dalla quota di partecipazione. Dal 2017 dispone di una quota di voti, esercitabili in assemblea, pari o superiore al 20 per cento se trattasi di </w:t>
            </w:r>
            <w:proofErr w:type="spellStart"/>
            <w:r w:rsidRPr="00211123">
              <w:rPr>
                <w:rFonts w:ascii="Arial" w:hAnsi="Arial" w:cs="Arial"/>
                <w:sz w:val="16"/>
                <w:szCs w:val="16"/>
              </w:rPr>
              <w:t>societa'</w:t>
            </w:r>
            <w:proofErr w:type="spellEnd"/>
            <w:r w:rsidRPr="00211123">
              <w:rPr>
                <w:rFonts w:ascii="Arial" w:hAnsi="Arial" w:cs="Arial"/>
                <w:sz w:val="16"/>
                <w:szCs w:val="16"/>
              </w:rPr>
              <w:t xml:space="preserve"> non quotata</w:t>
            </w:r>
          </w:p>
        </w:tc>
        <w:tc>
          <w:tcPr>
            <w:tcW w:w="600" w:type="dxa"/>
            <w:tcBorders>
              <w:top w:val="nil"/>
              <w:left w:val="single" w:sz="6" w:space="0" w:color="auto"/>
              <w:bottom w:val="nil"/>
              <w:right w:val="single" w:sz="6" w:space="0" w:color="auto"/>
            </w:tcBorders>
            <w:tcMar>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3</w:t>
            </w:r>
          </w:p>
        </w:tc>
      </w:tr>
      <w:tr w:rsidR="00211123" w:rsidRPr="00211123">
        <w:tc>
          <w:tcPr>
            <w:tcW w:w="343" w:type="dxa"/>
            <w:gridSpan w:val="2"/>
            <w:tcBorders>
              <w:top w:val="nil"/>
              <w:left w:val="single" w:sz="6" w:space="0" w:color="auto"/>
              <w:bottom w:val="single" w:sz="6" w:space="0" w:color="auto"/>
              <w:right w:val="nil"/>
            </w:tcBorders>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p>
        </w:tc>
        <w:tc>
          <w:tcPr>
            <w:tcW w:w="420" w:type="dxa"/>
            <w:tcBorders>
              <w:top w:val="nil"/>
              <w:left w:val="nil"/>
              <w:bottom w:val="single" w:sz="6" w:space="0" w:color="auto"/>
              <w:right w:val="nil"/>
            </w:tcBorders>
            <w:tcMar>
              <w:left w:w="36" w:type="dxa"/>
            </w:tcMa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w:t>
            </w:r>
          </w:p>
        </w:tc>
        <w:tc>
          <w:tcPr>
            <w:tcW w:w="8235" w:type="dxa"/>
            <w:gridSpan w:val="5"/>
            <w:tcBorders>
              <w:top w:val="nil"/>
              <w:left w:val="nil"/>
              <w:bottom w:val="single" w:sz="6" w:space="0" w:color="auto"/>
              <w:right w:val="single" w:sz="6" w:space="0" w:color="auto"/>
            </w:tcBorders>
            <w:tcMar>
              <w:left w:w="36" w:type="dxa"/>
              <w:right w:w="51" w:type="dxa"/>
            </w:tcMar>
            <w:vAlign w:val="center"/>
          </w:tcPr>
          <w:p w:rsidR="00211123" w:rsidRPr="00211123" w:rsidRDefault="00211123" w:rsidP="00211123">
            <w:pPr>
              <w:widowControl w:val="0"/>
              <w:autoSpaceDE w:val="0"/>
              <w:autoSpaceDN w:val="0"/>
              <w:adjustRightInd w:val="0"/>
              <w:spacing w:after="0" w:line="240" w:lineRule="auto"/>
              <w:jc w:val="both"/>
              <w:rPr>
                <w:rFonts w:ascii="Arial" w:hAnsi="Arial" w:cs="Arial"/>
                <w:sz w:val="16"/>
                <w:szCs w:val="16"/>
              </w:rPr>
            </w:pPr>
            <w:r w:rsidRPr="00211123">
              <w:rPr>
                <w:rFonts w:ascii="Arial" w:hAnsi="Arial" w:cs="Arial"/>
                <w:sz w:val="16"/>
                <w:szCs w:val="16"/>
              </w:rPr>
              <w:t xml:space="preserve">costituite dalle società a totale partecipazione pubblica affidatarie dirette di servizi pubblici locali della regione o dell’ente locale indipendentemente dalla quota di partecipazione. Dal 2017 dispone di una quota di voti, esercitabili in assemblea, pari o superiore al 10 per cento se trattasi di </w:t>
            </w:r>
            <w:proofErr w:type="spellStart"/>
            <w:r w:rsidRPr="00211123">
              <w:rPr>
                <w:rFonts w:ascii="Arial" w:hAnsi="Arial" w:cs="Arial"/>
                <w:sz w:val="16"/>
                <w:szCs w:val="16"/>
              </w:rPr>
              <w:t>societa'</w:t>
            </w:r>
            <w:proofErr w:type="spellEnd"/>
            <w:r w:rsidRPr="00211123">
              <w:rPr>
                <w:rFonts w:ascii="Arial" w:hAnsi="Arial" w:cs="Arial"/>
                <w:sz w:val="16"/>
                <w:szCs w:val="16"/>
              </w:rPr>
              <w:t xml:space="preserve"> quotata</w:t>
            </w:r>
          </w:p>
        </w:tc>
        <w:tc>
          <w:tcPr>
            <w:tcW w:w="600" w:type="dxa"/>
            <w:tcBorders>
              <w:top w:val="nil"/>
              <w:left w:val="single" w:sz="6" w:space="0" w:color="auto"/>
              <w:bottom w:val="single" w:sz="6" w:space="0" w:color="auto"/>
              <w:right w:val="single" w:sz="6" w:space="0" w:color="auto"/>
            </w:tcBorders>
            <w:tcMar>
              <w:right w:w="51"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0</w:t>
            </w:r>
          </w:p>
        </w:tc>
      </w:tr>
    </w:tbl>
    <w:p w:rsidR="00211123" w:rsidRPr="00211123" w:rsidRDefault="00211123" w:rsidP="00211123">
      <w:pPr>
        <w:widowControl w:val="0"/>
        <w:autoSpaceDE w:val="0"/>
        <w:autoSpaceDN w:val="0"/>
        <w:adjustRightInd w:val="0"/>
        <w:spacing w:after="0" w:line="240" w:lineRule="auto"/>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lastRenderedPageBreak/>
        <w:t>In ottemperanza alle previsioni normative si evidenzia, infine, che il gruppo “pubblica amministrazione” è riconducibile alle seguenti tipologie corrispondenti alle missioni di bilancio:</w:t>
      </w:r>
    </w:p>
    <w:p w:rsidR="00211123" w:rsidRPr="00211123" w:rsidRDefault="00211123" w:rsidP="00211123">
      <w:pPr>
        <w:widowControl w:val="0"/>
        <w:autoSpaceDE w:val="0"/>
        <w:autoSpaceDN w:val="0"/>
        <w:adjustRightInd w:val="0"/>
        <w:spacing w:after="0" w:line="240" w:lineRule="auto"/>
        <w:rPr>
          <w:rFonts w:ascii="Arial" w:hAnsi="Arial" w:cs="Arial"/>
          <w:sz w:val="24"/>
          <w:szCs w:val="24"/>
        </w:rPr>
      </w:pPr>
    </w:p>
    <w:tbl>
      <w:tblPr>
        <w:tblW w:w="0" w:type="auto"/>
        <w:tblInd w:w="-8" w:type="dxa"/>
        <w:tblLayout w:type="fixed"/>
        <w:tblCellMar>
          <w:top w:w="17" w:type="dxa"/>
          <w:left w:w="51" w:type="dxa"/>
          <w:bottom w:w="17" w:type="dxa"/>
          <w:right w:w="43" w:type="dxa"/>
        </w:tblCellMar>
        <w:tblLook w:val="0000"/>
      </w:tblPr>
      <w:tblGrid>
        <w:gridCol w:w="2563"/>
        <w:gridCol w:w="1410"/>
        <w:gridCol w:w="1410"/>
        <w:gridCol w:w="1425"/>
        <w:gridCol w:w="1425"/>
        <w:gridCol w:w="1350"/>
      </w:tblGrid>
      <w:tr w:rsidR="00211123" w:rsidRPr="00211123">
        <w:tc>
          <w:tcPr>
            <w:tcW w:w="2563" w:type="dxa"/>
            <w:tcBorders>
              <w:top w:val="single" w:sz="6" w:space="0" w:color="auto"/>
              <w:left w:val="single" w:sz="6" w:space="0" w:color="auto"/>
              <w:bottom w:val="single" w:sz="6" w:space="0" w:color="auto"/>
              <w:right w:val="single" w:sz="2" w:space="0" w:color="auto"/>
            </w:tcBorders>
            <w:shd w:val="clear" w:color="auto" w:fill="E6E6E6"/>
            <w:vAlign w:val="center"/>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r w:rsidRPr="00211123">
              <w:rPr>
                <w:rFonts w:ascii="Arial" w:hAnsi="Arial" w:cs="Arial"/>
                <w:b/>
                <w:bCs/>
                <w:sz w:val="16"/>
                <w:szCs w:val="16"/>
              </w:rPr>
              <w:t>Tipologie</w:t>
            </w:r>
          </w:p>
        </w:tc>
        <w:tc>
          <w:tcPr>
            <w:tcW w:w="1410" w:type="dxa"/>
            <w:tcBorders>
              <w:top w:val="single" w:sz="6" w:space="0" w:color="auto"/>
              <w:left w:val="single" w:sz="2" w:space="0" w:color="auto"/>
              <w:bottom w:val="single" w:sz="6" w:space="0" w:color="auto"/>
              <w:right w:val="single" w:sz="2" w:space="0" w:color="auto"/>
            </w:tcBorders>
            <w:shd w:val="clear" w:color="auto" w:fill="E6E6E6"/>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Organismo Strumentale</w:t>
            </w:r>
          </w:p>
        </w:tc>
        <w:tc>
          <w:tcPr>
            <w:tcW w:w="1410" w:type="dxa"/>
            <w:tcBorders>
              <w:top w:val="single" w:sz="6" w:space="0" w:color="auto"/>
              <w:left w:val="single" w:sz="2" w:space="0" w:color="auto"/>
              <w:bottom w:val="single" w:sz="6" w:space="0" w:color="auto"/>
              <w:right w:val="single" w:sz="2" w:space="0" w:color="auto"/>
            </w:tcBorders>
            <w:shd w:val="clear" w:color="auto" w:fill="E6E6E6"/>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 xml:space="preserve">Ente </w:t>
            </w:r>
          </w:p>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Strumentale Controllato</w:t>
            </w:r>
          </w:p>
        </w:tc>
        <w:tc>
          <w:tcPr>
            <w:tcW w:w="1425" w:type="dxa"/>
            <w:tcBorders>
              <w:top w:val="single" w:sz="6" w:space="0" w:color="auto"/>
              <w:left w:val="single" w:sz="2" w:space="0" w:color="auto"/>
              <w:bottom w:val="single" w:sz="6" w:space="0" w:color="auto"/>
              <w:right w:val="single" w:sz="2" w:space="0" w:color="auto"/>
            </w:tcBorders>
            <w:shd w:val="clear" w:color="auto" w:fill="E6E6E6"/>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 xml:space="preserve">Ente </w:t>
            </w:r>
          </w:p>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Strumentale Partecipato</w:t>
            </w:r>
          </w:p>
        </w:tc>
        <w:tc>
          <w:tcPr>
            <w:tcW w:w="1425" w:type="dxa"/>
            <w:tcBorders>
              <w:top w:val="single" w:sz="6" w:space="0" w:color="auto"/>
              <w:left w:val="single" w:sz="2" w:space="0" w:color="auto"/>
              <w:bottom w:val="single" w:sz="6" w:space="0" w:color="auto"/>
              <w:right w:val="single" w:sz="2" w:space="0" w:color="auto"/>
            </w:tcBorders>
            <w:shd w:val="clear" w:color="auto" w:fill="E6E6E6"/>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Società Controllata</w:t>
            </w:r>
          </w:p>
        </w:tc>
        <w:tc>
          <w:tcPr>
            <w:tcW w:w="1350" w:type="dxa"/>
            <w:tcBorders>
              <w:top w:val="single" w:sz="6" w:space="0" w:color="auto"/>
              <w:left w:val="single" w:sz="2" w:space="0" w:color="auto"/>
              <w:bottom w:val="single" w:sz="6" w:space="0" w:color="auto"/>
              <w:right w:val="single" w:sz="2" w:space="0" w:color="auto"/>
            </w:tcBorders>
            <w:shd w:val="clear" w:color="auto" w:fill="E6E6E6"/>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Società Collegata</w:t>
            </w:r>
          </w:p>
        </w:tc>
      </w:tr>
      <w:tr w:rsidR="00211123" w:rsidRPr="00211123">
        <w:tc>
          <w:tcPr>
            <w:tcW w:w="256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a) servizi istituzionali, generali e di gestione</w:t>
            </w: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3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r>
      <w:tr w:rsidR="00211123" w:rsidRPr="00211123">
        <w:tc>
          <w:tcPr>
            <w:tcW w:w="256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b) istruzione e diritto allo studio</w:t>
            </w: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3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r>
      <w:tr w:rsidR="00211123" w:rsidRPr="00211123">
        <w:tc>
          <w:tcPr>
            <w:tcW w:w="256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c) ordine pubblico e sicurezza</w:t>
            </w: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3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r>
      <w:tr w:rsidR="00211123" w:rsidRPr="00211123">
        <w:tc>
          <w:tcPr>
            <w:tcW w:w="256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d) tutela e valorizzazione dei beni ed </w:t>
            </w:r>
            <w:proofErr w:type="spellStart"/>
            <w:r w:rsidRPr="00211123">
              <w:rPr>
                <w:rFonts w:ascii="Arial" w:hAnsi="Arial" w:cs="Arial"/>
                <w:sz w:val="16"/>
                <w:szCs w:val="16"/>
              </w:rPr>
              <w:t>attivita'</w:t>
            </w:r>
            <w:proofErr w:type="spellEnd"/>
            <w:r w:rsidRPr="00211123">
              <w:rPr>
                <w:rFonts w:ascii="Arial" w:hAnsi="Arial" w:cs="Arial"/>
                <w:sz w:val="16"/>
                <w:szCs w:val="16"/>
              </w:rPr>
              <w:t xml:space="preserve"> culturali</w:t>
            </w: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3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0E26F7" w:rsidP="0021112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x</w:t>
            </w:r>
          </w:p>
        </w:tc>
      </w:tr>
      <w:tr w:rsidR="00211123" w:rsidRPr="00211123">
        <w:tc>
          <w:tcPr>
            <w:tcW w:w="256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e) politiche giovanili, sport e tempo libero</w:t>
            </w: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3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r>
      <w:tr w:rsidR="00211123" w:rsidRPr="00211123">
        <w:tc>
          <w:tcPr>
            <w:tcW w:w="256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f) turismo</w:t>
            </w: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3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r>
      <w:tr w:rsidR="00211123" w:rsidRPr="00211123">
        <w:tc>
          <w:tcPr>
            <w:tcW w:w="256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g) assetto del territorio ed edilizia abitativa</w:t>
            </w: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3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r>
      <w:tr w:rsidR="00211123" w:rsidRPr="00211123">
        <w:tc>
          <w:tcPr>
            <w:tcW w:w="256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h) sviluppo sostenibile e tutela del territorio e dell'ambiente</w:t>
            </w: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0E26F7" w:rsidP="0021112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x</w:t>
            </w: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F92A47" w:rsidP="0021112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x</w:t>
            </w:r>
          </w:p>
        </w:tc>
        <w:tc>
          <w:tcPr>
            <w:tcW w:w="13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F92A47" w:rsidP="0021112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x</w:t>
            </w:r>
          </w:p>
        </w:tc>
      </w:tr>
      <w:tr w:rsidR="00211123" w:rsidRPr="00211123">
        <w:tc>
          <w:tcPr>
            <w:tcW w:w="256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i) trasporti e diritto alla </w:t>
            </w:r>
            <w:proofErr w:type="spellStart"/>
            <w:r w:rsidRPr="00211123">
              <w:rPr>
                <w:rFonts w:ascii="Arial" w:hAnsi="Arial" w:cs="Arial"/>
                <w:sz w:val="16"/>
                <w:szCs w:val="16"/>
              </w:rPr>
              <w:t>mobilita'</w:t>
            </w:r>
            <w:proofErr w:type="spellEnd"/>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3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r>
      <w:tr w:rsidR="00211123" w:rsidRPr="00211123">
        <w:tc>
          <w:tcPr>
            <w:tcW w:w="256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j) soccorso civile</w:t>
            </w: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3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r>
      <w:tr w:rsidR="00211123" w:rsidRPr="00211123">
        <w:tc>
          <w:tcPr>
            <w:tcW w:w="256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k) diritti sociali, politiche sociali e famiglia</w:t>
            </w: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3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r>
      <w:tr w:rsidR="00211123" w:rsidRPr="00211123">
        <w:tc>
          <w:tcPr>
            <w:tcW w:w="256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l) tutela della salute</w:t>
            </w: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3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r>
      <w:tr w:rsidR="00211123" w:rsidRPr="00211123">
        <w:tc>
          <w:tcPr>
            <w:tcW w:w="256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m) sviluppo economico e </w:t>
            </w:r>
            <w:proofErr w:type="spellStart"/>
            <w:r w:rsidRPr="00211123">
              <w:rPr>
                <w:rFonts w:ascii="Arial" w:hAnsi="Arial" w:cs="Arial"/>
                <w:sz w:val="16"/>
                <w:szCs w:val="16"/>
              </w:rPr>
              <w:t>competitivita'</w:t>
            </w:r>
            <w:proofErr w:type="spellEnd"/>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3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r>
      <w:tr w:rsidR="00211123" w:rsidRPr="00211123">
        <w:tc>
          <w:tcPr>
            <w:tcW w:w="256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n) politiche per il lavoro e la formazione professionale</w:t>
            </w: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3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F92A47" w:rsidP="0021112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x</w:t>
            </w:r>
          </w:p>
        </w:tc>
      </w:tr>
      <w:tr w:rsidR="00211123" w:rsidRPr="00211123">
        <w:tc>
          <w:tcPr>
            <w:tcW w:w="256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o) agricoltura, politiche agroalimentari e pesca</w:t>
            </w: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3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r>
      <w:tr w:rsidR="00211123" w:rsidRPr="00211123">
        <w:tc>
          <w:tcPr>
            <w:tcW w:w="256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p) energia e diversificazione delle fonti energetiche</w:t>
            </w: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3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r>
      <w:tr w:rsidR="00211123" w:rsidRPr="00211123">
        <w:tc>
          <w:tcPr>
            <w:tcW w:w="256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q) relazione con le altre autonomie territoriali e locali</w:t>
            </w: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3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F92A47" w:rsidP="00211123">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x</w:t>
            </w:r>
          </w:p>
        </w:tc>
      </w:tr>
      <w:tr w:rsidR="00211123" w:rsidRPr="00211123">
        <w:tc>
          <w:tcPr>
            <w:tcW w:w="256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r) relazioni internazionali</w:t>
            </w: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1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425"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c>
          <w:tcPr>
            <w:tcW w:w="1350" w:type="dxa"/>
            <w:tcBorders>
              <w:top w:val="single" w:sz="6" w:space="0" w:color="auto"/>
              <w:left w:val="single" w:sz="2" w:space="0" w:color="auto"/>
              <w:bottom w:val="single" w:sz="6" w:space="0" w:color="auto"/>
              <w:right w:val="single" w:sz="2" w:space="0" w:color="auto"/>
            </w:tcBorders>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p>
        </w:tc>
      </w:tr>
    </w:tbl>
    <w:p w:rsidR="00211123" w:rsidRPr="00211123" w:rsidRDefault="00211123" w:rsidP="00211123">
      <w:pPr>
        <w:widowControl w:val="0"/>
        <w:autoSpaceDE w:val="0"/>
        <w:autoSpaceDN w:val="0"/>
        <w:adjustRightInd w:val="0"/>
        <w:spacing w:after="0" w:line="240" w:lineRule="auto"/>
        <w:rPr>
          <w:rFonts w:ascii="Arial" w:hAnsi="Arial" w:cs="Arial"/>
          <w:sz w:val="24"/>
          <w:szCs w:val="24"/>
        </w:rPr>
      </w:pPr>
    </w:p>
    <w:p w:rsidR="00211123" w:rsidRPr="00211123" w:rsidRDefault="00211123" w:rsidP="00211123">
      <w:pPr>
        <w:widowControl w:val="0"/>
        <w:autoSpaceDE w:val="0"/>
        <w:autoSpaceDN w:val="0"/>
        <w:adjustRightInd w:val="0"/>
        <w:spacing w:after="0" w:line="240" w:lineRule="auto"/>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Gli enti, le aziende e le società riportate concorrono a comporre il gruppo amministrazione pubblica, in applicazione delle indicazioni formulate nel principio contabile applicato concernente il bilancio consolidato, e sono la base da cui occorre partire per definire i componenti del gruppo che confluiranno nel bilancio consolidato.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numPr>
          <w:ilvl w:val="0"/>
          <w:numId w:val="6"/>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Individuazione del Perimetro di consolidamento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Il bilancio consolidato ha il compito di rappresentare in modo veritiero e corretto la situazione finanziaria e patrimoniale e il risultato economico della complessiva attività svolta dall’ente attraverso le proprie articolazioni organizzative, i suoi enti strumentali e le sue società controllate e partecipate.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In questo ambito concorrono a formare il “perimetro di consolidamento” soggetti economici che non sono in stato di fallimento poiché non garanti di una gestione dell’attività ad essi </w:t>
      </w:r>
      <w:r w:rsidRPr="00211123">
        <w:rPr>
          <w:rFonts w:ascii="Arial" w:hAnsi="Arial" w:cs="Arial"/>
          <w:sz w:val="24"/>
          <w:szCs w:val="24"/>
        </w:rPr>
        <w:lastRenderedPageBreak/>
        <w:t>assegnata tramite contratto di servizio o convenzione, o che non risultino per natura irrilevanti.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A riguardo, il principio contabile n. 4 concernente il bilancio consolidato così prevede: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08"/>
        <w:jc w:val="both"/>
        <w:rPr>
          <w:rFonts w:ascii="Arial" w:hAnsi="Arial" w:cs="Arial"/>
          <w:i/>
          <w:iCs/>
          <w:sz w:val="24"/>
          <w:szCs w:val="24"/>
        </w:rPr>
      </w:pPr>
      <w:r w:rsidRPr="00211123">
        <w:rPr>
          <w:rFonts w:ascii="Arial" w:hAnsi="Arial" w:cs="Arial"/>
          <w:i/>
          <w:iCs/>
          <w:sz w:val="24"/>
          <w:szCs w:val="24"/>
        </w:rPr>
        <w:t>&lt;&lt;[…] Sono considerati irrilevanti i bilanci che presentano, per ciascuno dei seguenti parametri, una incidenza inferiore al 10 per cento per gli enti locali e al 5 per cento per le Regioni e le Province autonome rispetto alla posizione patrimoniale, economico e finanziaria della capogruppo: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08"/>
        <w:jc w:val="both"/>
        <w:rPr>
          <w:rFonts w:ascii="Arial" w:hAnsi="Arial" w:cs="Arial"/>
          <w:i/>
          <w:iCs/>
          <w:sz w:val="24"/>
          <w:szCs w:val="24"/>
        </w:rPr>
      </w:pPr>
      <w:r w:rsidRPr="00211123">
        <w:rPr>
          <w:rFonts w:ascii="Arial" w:hAnsi="Arial" w:cs="Arial"/>
          <w:i/>
          <w:iCs/>
          <w:sz w:val="24"/>
          <w:szCs w:val="24"/>
        </w:rPr>
        <w:t>- totale dell’attivo,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08"/>
        <w:jc w:val="both"/>
        <w:rPr>
          <w:rFonts w:ascii="Arial" w:hAnsi="Arial" w:cs="Arial"/>
          <w:i/>
          <w:iCs/>
          <w:sz w:val="24"/>
          <w:szCs w:val="24"/>
        </w:rPr>
      </w:pPr>
      <w:r w:rsidRPr="00211123">
        <w:rPr>
          <w:rFonts w:ascii="Arial" w:hAnsi="Arial" w:cs="Arial"/>
          <w:i/>
          <w:iCs/>
          <w:sz w:val="24"/>
          <w:szCs w:val="24"/>
        </w:rPr>
        <w:t>- patrimonio netto,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08"/>
        <w:jc w:val="both"/>
        <w:rPr>
          <w:rFonts w:ascii="Arial" w:hAnsi="Arial" w:cs="Arial"/>
          <w:i/>
          <w:iCs/>
          <w:sz w:val="24"/>
          <w:szCs w:val="24"/>
        </w:rPr>
      </w:pPr>
      <w:r w:rsidRPr="00211123">
        <w:rPr>
          <w:rFonts w:ascii="Arial" w:hAnsi="Arial" w:cs="Arial"/>
          <w:i/>
          <w:iCs/>
          <w:sz w:val="24"/>
          <w:szCs w:val="24"/>
        </w:rPr>
        <w:t>- totale dei ricavi caratteristici.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08"/>
        <w:jc w:val="both"/>
        <w:rPr>
          <w:rFonts w:ascii="Arial" w:hAnsi="Arial" w:cs="Arial"/>
          <w:i/>
          <w:iCs/>
          <w:sz w:val="24"/>
          <w:szCs w:val="24"/>
        </w:rPr>
      </w:pPr>
      <w:r w:rsidRPr="00211123">
        <w:rPr>
          <w:rFonts w:ascii="Arial" w:hAnsi="Arial" w:cs="Arial"/>
          <w:i/>
          <w:iCs/>
          <w:sz w:val="24"/>
          <w:szCs w:val="24"/>
        </w:rPr>
        <w:t>In presenza di patrimonio netto negativo, l’irrilevanza è determinata con riferimento ai soli due parametri restanti.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08"/>
        <w:jc w:val="both"/>
        <w:rPr>
          <w:rFonts w:ascii="Arial" w:hAnsi="Arial" w:cs="Arial"/>
          <w:i/>
          <w:iCs/>
          <w:sz w:val="24"/>
          <w:szCs w:val="24"/>
        </w:rPr>
      </w:pPr>
      <w:r w:rsidRPr="00211123">
        <w:rPr>
          <w:rFonts w:ascii="Arial" w:hAnsi="Arial" w:cs="Arial"/>
          <w:i/>
          <w:iCs/>
          <w:sz w:val="24"/>
          <w:szCs w:val="24"/>
        </w:rPr>
        <w:t xml:space="preserve">[…] Al fine di garantire la significatività del bilancio consolidato gli enti possono considerare non irrilevanti i bilanci degli enti e delle società che presentano percentuali inferiori a quelle sopra richiamate. A decorrere dall’esercizio 2017 sono considerati rilevanti gli enti e le società totalmente partecipati dalla capogruppo, le società in house e gli enti partecipati titolari di affidamento diretto da parte dei componenti del gruppo, a prescindere dalla quota di partecipazione. </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08"/>
        <w:jc w:val="both"/>
        <w:rPr>
          <w:rFonts w:ascii="Arial" w:hAnsi="Arial" w:cs="Arial"/>
          <w:i/>
          <w:iCs/>
          <w:sz w:val="24"/>
          <w:szCs w:val="24"/>
        </w:rPr>
      </w:pPr>
      <w:r w:rsidRPr="00211123">
        <w:rPr>
          <w:rFonts w:ascii="Arial" w:hAnsi="Arial" w:cs="Arial"/>
          <w:i/>
          <w:iCs/>
          <w:sz w:val="24"/>
          <w:szCs w:val="24"/>
        </w:rPr>
        <w:t>La percentuale di irrilevanza riferita ai “ricavi caratteristici” è determinata rapportando i componenti positivi di reddito che concorrono alla determinazione del valore della produzione dell’ente o società controllata o partecipata al totale dei “A) Componenti positivi della gestione” dell’ente”.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08"/>
        <w:jc w:val="both"/>
        <w:rPr>
          <w:rFonts w:ascii="Arial" w:hAnsi="Arial" w:cs="Arial"/>
          <w:i/>
          <w:iCs/>
          <w:sz w:val="24"/>
          <w:szCs w:val="24"/>
        </w:rPr>
      </w:pPr>
      <w:r w:rsidRPr="00211123">
        <w:rPr>
          <w:rFonts w:ascii="Arial" w:hAnsi="Arial" w:cs="Arial"/>
          <w:i/>
          <w:iCs/>
          <w:sz w:val="24"/>
          <w:szCs w:val="24"/>
        </w:rPr>
        <w:t>[…]In ogni caso, salvo il caso dell’affidamento diretto, sono considerate irrilevanti, e non oggetto di consolidamento, le quote di partecipazione inferiori all’1% del capitale della società partecipata.&gt;&gt;</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L’analisi per la definizione del </w:t>
      </w:r>
      <w:r w:rsidRPr="00211123">
        <w:rPr>
          <w:rFonts w:ascii="Arial" w:hAnsi="Arial" w:cs="Arial"/>
          <w:b/>
          <w:bCs/>
          <w:sz w:val="24"/>
          <w:szCs w:val="24"/>
        </w:rPr>
        <w:t>perimetro di consolidamento</w:t>
      </w:r>
      <w:r w:rsidRPr="00211123">
        <w:rPr>
          <w:rFonts w:ascii="Arial" w:hAnsi="Arial" w:cs="Arial"/>
          <w:sz w:val="24"/>
          <w:szCs w:val="24"/>
        </w:rPr>
        <w:t xml:space="preserve"> del gruppo è così sintetizzabile:</w:t>
      </w:r>
    </w:p>
    <w:p w:rsidR="00211123" w:rsidRPr="00211123" w:rsidRDefault="00211123" w:rsidP="00211123">
      <w:pPr>
        <w:widowControl w:val="0"/>
        <w:autoSpaceDE w:val="0"/>
        <w:autoSpaceDN w:val="0"/>
        <w:adjustRightInd w:val="0"/>
        <w:spacing w:after="0" w:line="240" w:lineRule="auto"/>
        <w:rPr>
          <w:rFonts w:ascii="Arial" w:hAnsi="Arial" w:cs="Arial"/>
          <w:sz w:val="24"/>
          <w:szCs w:val="24"/>
        </w:rPr>
      </w:pPr>
    </w:p>
    <w:tbl>
      <w:tblPr>
        <w:tblW w:w="0" w:type="auto"/>
        <w:tblInd w:w="-8" w:type="dxa"/>
        <w:tblLayout w:type="fixed"/>
        <w:tblCellMar>
          <w:top w:w="17" w:type="dxa"/>
          <w:left w:w="51" w:type="dxa"/>
          <w:bottom w:w="17" w:type="dxa"/>
          <w:right w:w="51" w:type="dxa"/>
        </w:tblCellMar>
        <w:tblLook w:val="0000"/>
      </w:tblPr>
      <w:tblGrid>
        <w:gridCol w:w="2833"/>
        <w:gridCol w:w="1710"/>
        <w:gridCol w:w="1695"/>
        <w:gridCol w:w="1680"/>
        <w:gridCol w:w="1697"/>
      </w:tblGrid>
      <w:tr w:rsidR="00211123" w:rsidRPr="00211123">
        <w:tc>
          <w:tcPr>
            <w:tcW w:w="2833" w:type="dxa"/>
            <w:tcBorders>
              <w:top w:val="single" w:sz="6" w:space="0" w:color="auto"/>
              <w:left w:val="single" w:sz="6" w:space="0" w:color="auto"/>
              <w:bottom w:val="single" w:sz="6" w:space="0" w:color="auto"/>
              <w:right w:val="single" w:sz="6" w:space="0" w:color="auto"/>
            </w:tcBorders>
            <w:shd w:val="clear" w:color="auto" w:fill="E6E6E6"/>
            <w:vAlign w:val="center"/>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r w:rsidRPr="00211123">
              <w:rPr>
                <w:rFonts w:ascii="Arial" w:hAnsi="Arial" w:cs="Arial"/>
                <w:b/>
                <w:bCs/>
                <w:sz w:val="16"/>
                <w:szCs w:val="16"/>
              </w:rPr>
              <w:t>Denominazione</w:t>
            </w:r>
          </w:p>
        </w:tc>
        <w:tc>
          <w:tcPr>
            <w:tcW w:w="1710" w:type="dxa"/>
            <w:tcBorders>
              <w:top w:val="single" w:sz="6" w:space="0" w:color="auto"/>
              <w:left w:val="single" w:sz="6" w:space="0" w:color="auto"/>
              <w:bottom w:val="single" w:sz="6" w:space="0" w:color="auto"/>
              <w:right w:val="single" w:sz="6" w:space="0" w:color="auto"/>
            </w:tcBorders>
            <w:shd w:val="clear" w:color="auto" w:fill="E6E6E6"/>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Classificazione</w:t>
            </w:r>
          </w:p>
        </w:tc>
        <w:tc>
          <w:tcPr>
            <w:tcW w:w="1695" w:type="dxa"/>
            <w:tcBorders>
              <w:top w:val="single" w:sz="6" w:space="0" w:color="auto"/>
              <w:left w:val="single" w:sz="6" w:space="0" w:color="auto"/>
              <w:bottom w:val="single" w:sz="6" w:space="0" w:color="auto"/>
              <w:right w:val="single" w:sz="6" w:space="0" w:color="auto"/>
            </w:tcBorders>
            <w:shd w:val="clear" w:color="auto" w:fill="E6E6E6"/>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Tipologia</w:t>
            </w:r>
          </w:p>
        </w:tc>
        <w:tc>
          <w:tcPr>
            <w:tcW w:w="1680" w:type="dxa"/>
            <w:tcBorders>
              <w:top w:val="single" w:sz="6" w:space="0" w:color="auto"/>
              <w:left w:val="single" w:sz="6" w:space="0" w:color="auto"/>
              <w:bottom w:val="single" w:sz="6" w:space="0" w:color="auto"/>
              <w:right w:val="single" w:sz="6" w:space="0" w:color="auto"/>
            </w:tcBorders>
            <w:shd w:val="clear" w:color="auto" w:fill="E6E6E6"/>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Consolidabile per natura</w:t>
            </w:r>
          </w:p>
        </w:tc>
        <w:tc>
          <w:tcPr>
            <w:tcW w:w="1697" w:type="dxa"/>
            <w:tcBorders>
              <w:top w:val="single" w:sz="6" w:space="0" w:color="auto"/>
              <w:left w:val="single" w:sz="6" w:space="0" w:color="auto"/>
              <w:bottom w:val="single" w:sz="6" w:space="0" w:color="auto"/>
              <w:right w:val="single" w:sz="6" w:space="0" w:color="auto"/>
            </w:tcBorders>
            <w:shd w:val="clear" w:color="auto" w:fill="E6E6E6"/>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Metodo di consolidamento</w:t>
            </w:r>
          </w:p>
        </w:tc>
      </w:tr>
      <w:tr w:rsidR="00211123" w:rsidRPr="00211123">
        <w:tc>
          <w:tcPr>
            <w:tcW w:w="2833"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ANACAPRI SERVIZI SRL</w:t>
            </w:r>
          </w:p>
        </w:tc>
        <w:tc>
          <w:tcPr>
            <w:tcW w:w="1710"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Società controllata</w:t>
            </w:r>
          </w:p>
        </w:tc>
        <w:tc>
          <w:tcPr>
            <w:tcW w:w="1695"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H</w:t>
            </w:r>
          </w:p>
        </w:tc>
        <w:tc>
          <w:tcPr>
            <w:tcW w:w="1680"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Si</w:t>
            </w:r>
          </w:p>
        </w:tc>
        <w:tc>
          <w:tcPr>
            <w:tcW w:w="1697"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Integrale</w:t>
            </w:r>
          </w:p>
        </w:tc>
      </w:tr>
    </w:tbl>
    <w:p w:rsidR="00211123" w:rsidRPr="00211123" w:rsidRDefault="00211123" w:rsidP="00211123">
      <w:pPr>
        <w:widowControl w:val="0"/>
        <w:autoSpaceDE w:val="0"/>
        <w:autoSpaceDN w:val="0"/>
        <w:adjustRightInd w:val="0"/>
        <w:spacing w:after="0" w:line="240" w:lineRule="auto"/>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Mentre la verifica dell’irrilevanza dei bilanci di taluni soggetti economici è così sintetizzabile:</w:t>
      </w:r>
    </w:p>
    <w:tbl>
      <w:tblPr>
        <w:tblW w:w="0" w:type="auto"/>
        <w:tblInd w:w="-8" w:type="dxa"/>
        <w:tblLayout w:type="fixed"/>
        <w:tblCellMar>
          <w:top w:w="17" w:type="dxa"/>
          <w:left w:w="51" w:type="dxa"/>
          <w:bottom w:w="17" w:type="dxa"/>
          <w:right w:w="51" w:type="dxa"/>
        </w:tblCellMar>
        <w:tblLook w:val="0000"/>
      </w:tblPr>
      <w:tblGrid>
        <w:gridCol w:w="2968"/>
        <w:gridCol w:w="1455"/>
        <w:gridCol w:w="750"/>
        <w:gridCol w:w="1440"/>
        <w:gridCol w:w="750"/>
        <w:gridCol w:w="1440"/>
        <w:gridCol w:w="780"/>
      </w:tblGrid>
      <w:tr w:rsidR="00211123" w:rsidRPr="00211123">
        <w:tc>
          <w:tcPr>
            <w:tcW w:w="2968" w:type="dxa"/>
            <w:tcBorders>
              <w:top w:val="single" w:sz="6" w:space="0" w:color="auto"/>
              <w:left w:val="single" w:sz="6" w:space="0" w:color="auto"/>
              <w:bottom w:val="single" w:sz="6" w:space="0" w:color="auto"/>
              <w:right w:val="single" w:sz="6" w:space="0" w:color="auto"/>
            </w:tcBorders>
            <w:shd w:val="clear" w:color="auto" w:fill="E6E6E6"/>
            <w:vAlign w:val="center"/>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r w:rsidRPr="00211123">
              <w:rPr>
                <w:rFonts w:ascii="Arial" w:hAnsi="Arial" w:cs="Arial"/>
                <w:b/>
                <w:bCs/>
                <w:sz w:val="16"/>
                <w:szCs w:val="16"/>
              </w:rPr>
              <w:lastRenderedPageBreak/>
              <w:t>Denominazione</w:t>
            </w:r>
          </w:p>
        </w:tc>
        <w:tc>
          <w:tcPr>
            <w:tcW w:w="1455" w:type="dxa"/>
            <w:tcBorders>
              <w:top w:val="single" w:sz="6" w:space="0" w:color="auto"/>
              <w:left w:val="single" w:sz="6" w:space="0" w:color="auto"/>
              <w:bottom w:val="single" w:sz="6" w:space="0" w:color="auto"/>
              <w:right w:val="single" w:sz="6" w:space="0" w:color="auto"/>
            </w:tcBorders>
            <w:shd w:val="clear" w:color="auto" w:fill="E6E6E6"/>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Totale</w:t>
            </w:r>
          </w:p>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Attivo</w:t>
            </w:r>
          </w:p>
        </w:tc>
        <w:tc>
          <w:tcPr>
            <w:tcW w:w="750" w:type="dxa"/>
            <w:tcBorders>
              <w:top w:val="single" w:sz="6" w:space="0" w:color="auto"/>
              <w:left w:val="single" w:sz="6" w:space="0" w:color="auto"/>
              <w:bottom w:val="single" w:sz="6" w:space="0" w:color="auto"/>
              <w:right w:val="single" w:sz="6" w:space="0" w:color="auto"/>
            </w:tcBorders>
            <w:shd w:val="clear" w:color="auto" w:fill="E6E6E6"/>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 su</w:t>
            </w:r>
          </w:p>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CDB</w:t>
            </w:r>
          </w:p>
        </w:tc>
        <w:tc>
          <w:tcPr>
            <w:tcW w:w="1440" w:type="dxa"/>
            <w:tcBorders>
              <w:top w:val="single" w:sz="6" w:space="0" w:color="auto"/>
              <w:left w:val="single" w:sz="6" w:space="0" w:color="auto"/>
              <w:bottom w:val="single" w:sz="6" w:space="0" w:color="auto"/>
              <w:right w:val="single" w:sz="6" w:space="0" w:color="auto"/>
            </w:tcBorders>
            <w:shd w:val="clear" w:color="auto" w:fill="E6E6E6"/>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Patrimonio</w:t>
            </w:r>
          </w:p>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Netto</w:t>
            </w:r>
          </w:p>
        </w:tc>
        <w:tc>
          <w:tcPr>
            <w:tcW w:w="750" w:type="dxa"/>
            <w:tcBorders>
              <w:top w:val="single" w:sz="6" w:space="0" w:color="auto"/>
              <w:left w:val="single" w:sz="6" w:space="0" w:color="auto"/>
              <w:bottom w:val="single" w:sz="6" w:space="0" w:color="auto"/>
              <w:right w:val="single" w:sz="6" w:space="0" w:color="auto"/>
            </w:tcBorders>
            <w:shd w:val="clear" w:color="auto" w:fill="E6E6E6"/>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 su</w:t>
            </w:r>
          </w:p>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CDB</w:t>
            </w:r>
          </w:p>
        </w:tc>
        <w:tc>
          <w:tcPr>
            <w:tcW w:w="1440" w:type="dxa"/>
            <w:tcBorders>
              <w:top w:val="single" w:sz="6" w:space="0" w:color="auto"/>
              <w:left w:val="single" w:sz="6" w:space="0" w:color="auto"/>
              <w:bottom w:val="single" w:sz="6" w:space="0" w:color="auto"/>
              <w:right w:val="single" w:sz="6" w:space="0" w:color="auto"/>
            </w:tcBorders>
            <w:shd w:val="clear" w:color="auto" w:fill="E6E6E6"/>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Ricavi</w:t>
            </w:r>
          </w:p>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(A)</w:t>
            </w:r>
          </w:p>
        </w:tc>
        <w:tc>
          <w:tcPr>
            <w:tcW w:w="780" w:type="dxa"/>
            <w:tcBorders>
              <w:top w:val="single" w:sz="6" w:space="0" w:color="auto"/>
              <w:left w:val="single" w:sz="6" w:space="0" w:color="auto"/>
              <w:bottom w:val="single" w:sz="6" w:space="0" w:color="auto"/>
              <w:right w:val="single" w:sz="6" w:space="0" w:color="auto"/>
            </w:tcBorders>
            <w:shd w:val="clear" w:color="auto" w:fill="E6E6E6"/>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 su</w:t>
            </w:r>
          </w:p>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CDB</w:t>
            </w:r>
          </w:p>
        </w:tc>
      </w:tr>
      <w:tr w:rsidR="00211123" w:rsidRPr="00211123">
        <w:tc>
          <w:tcPr>
            <w:tcW w:w="2968"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Anacapri</w:t>
            </w:r>
          </w:p>
        </w:tc>
        <w:tc>
          <w:tcPr>
            <w:tcW w:w="1455"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50.897.035,54</w:t>
            </w:r>
          </w:p>
        </w:tc>
        <w:tc>
          <w:tcPr>
            <w:tcW w:w="750"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100,00%</w:t>
            </w:r>
          </w:p>
        </w:tc>
        <w:tc>
          <w:tcPr>
            <w:tcW w:w="1440"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23.044.400,88</w:t>
            </w:r>
          </w:p>
        </w:tc>
        <w:tc>
          <w:tcPr>
            <w:tcW w:w="750"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100,00%</w:t>
            </w:r>
          </w:p>
        </w:tc>
        <w:tc>
          <w:tcPr>
            <w:tcW w:w="1440"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10.359.550,15</w:t>
            </w:r>
          </w:p>
        </w:tc>
        <w:tc>
          <w:tcPr>
            <w:tcW w:w="780"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6"/>
                <w:szCs w:val="16"/>
              </w:rPr>
            </w:pPr>
            <w:r w:rsidRPr="00211123">
              <w:rPr>
                <w:rFonts w:ascii="Arial" w:hAnsi="Arial" w:cs="Arial"/>
                <w:sz w:val="16"/>
                <w:szCs w:val="16"/>
              </w:rPr>
              <w:t>100,00%</w:t>
            </w:r>
          </w:p>
        </w:tc>
      </w:tr>
    </w:tbl>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Pertanto, i soggetti facenti parte del perimetro di consolidamento sono i seguenti:</w:t>
      </w:r>
    </w:p>
    <w:tbl>
      <w:tblPr>
        <w:tblW w:w="0" w:type="auto"/>
        <w:tblInd w:w="-8" w:type="dxa"/>
        <w:tblLayout w:type="fixed"/>
        <w:tblCellMar>
          <w:top w:w="17" w:type="dxa"/>
          <w:left w:w="51" w:type="dxa"/>
          <w:bottom w:w="17" w:type="dxa"/>
          <w:right w:w="51" w:type="dxa"/>
        </w:tblCellMar>
        <w:tblLook w:val="0000"/>
      </w:tblPr>
      <w:tblGrid>
        <w:gridCol w:w="2833"/>
        <w:gridCol w:w="1410"/>
        <w:gridCol w:w="915"/>
        <w:gridCol w:w="1515"/>
        <w:gridCol w:w="705"/>
        <w:gridCol w:w="975"/>
        <w:gridCol w:w="1215"/>
      </w:tblGrid>
      <w:tr w:rsidR="00211123" w:rsidRPr="00211123">
        <w:tc>
          <w:tcPr>
            <w:tcW w:w="2833" w:type="dxa"/>
            <w:tcBorders>
              <w:top w:val="single" w:sz="6" w:space="0" w:color="auto"/>
              <w:left w:val="single" w:sz="6" w:space="0" w:color="auto"/>
              <w:bottom w:val="single" w:sz="6" w:space="0" w:color="auto"/>
              <w:right w:val="single" w:sz="6" w:space="0" w:color="auto"/>
            </w:tcBorders>
            <w:shd w:val="clear" w:color="auto" w:fill="E6E6E6"/>
            <w:vAlign w:val="center"/>
          </w:tcPr>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sz w:val="14"/>
                <w:szCs w:val="14"/>
              </w:rPr>
            </w:pPr>
            <w:r w:rsidRPr="00211123">
              <w:rPr>
                <w:rFonts w:ascii="Arial" w:hAnsi="Arial" w:cs="Arial"/>
                <w:b/>
                <w:bCs/>
                <w:sz w:val="14"/>
                <w:szCs w:val="14"/>
              </w:rPr>
              <w:t>Denominazione</w:t>
            </w:r>
          </w:p>
        </w:tc>
        <w:tc>
          <w:tcPr>
            <w:tcW w:w="1410" w:type="dxa"/>
            <w:tcBorders>
              <w:top w:val="single" w:sz="6" w:space="0" w:color="auto"/>
              <w:left w:val="single" w:sz="6" w:space="0" w:color="auto"/>
              <w:bottom w:val="single" w:sz="6" w:space="0" w:color="auto"/>
              <w:right w:val="single" w:sz="6" w:space="0" w:color="auto"/>
            </w:tcBorders>
            <w:shd w:val="clear" w:color="auto" w:fill="E6E6E6"/>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4"/>
                <w:szCs w:val="14"/>
              </w:rPr>
            </w:pPr>
            <w:r w:rsidRPr="00211123">
              <w:rPr>
                <w:rFonts w:ascii="Arial" w:hAnsi="Arial" w:cs="Arial"/>
                <w:b/>
                <w:bCs/>
                <w:sz w:val="14"/>
                <w:szCs w:val="14"/>
              </w:rPr>
              <w:t>Classificazione</w:t>
            </w:r>
          </w:p>
        </w:tc>
        <w:tc>
          <w:tcPr>
            <w:tcW w:w="915" w:type="dxa"/>
            <w:tcBorders>
              <w:top w:val="single" w:sz="6" w:space="0" w:color="auto"/>
              <w:left w:val="single" w:sz="6" w:space="0" w:color="auto"/>
              <w:bottom w:val="single" w:sz="6" w:space="0" w:color="auto"/>
              <w:right w:val="single" w:sz="6" w:space="0" w:color="auto"/>
            </w:tcBorders>
            <w:shd w:val="clear" w:color="auto" w:fill="E6E6E6"/>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4"/>
                <w:szCs w:val="14"/>
              </w:rPr>
            </w:pPr>
            <w:r w:rsidRPr="00211123">
              <w:rPr>
                <w:rFonts w:ascii="Arial" w:hAnsi="Arial" w:cs="Arial"/>
                <w:b/>
                <w:bCs/>
                <w:sz w:val="14"/>
                <w:szCs w:val="14"/>
              </w:rPr>
              <w:t>Tipologia</w:t>
            </w:r>
          </w:p>
        </w:tc>
        <w:tc>
          <w:tcPr>
            <w:tcW w:w="1515" w:type="dxa"/>
            <w:tcBorders>
              <w:top w:val="single" w:sz="6" w:space="0" w:color="auto"/>
              <w:left w:val="single" w:sz="6" w:space="0" w:color="auto"/>
              <w:bottom w:val="single" w:sz="6" w:space="0" w:color="auto"/>
              <w:right w:val="single" w:sz="6" w:space="0" w:color="auto"/>
            </w:tcBorders>
            <w:shd w:val="clear" w:color="auto" w:fill="E6E6E6"/>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4"/>
                <w:szCs w:val="14"/>
              </w:rPr>
            </w:pPr>
            <w:r w:rsidRPr="00211123">
              <w:rPr>
                <w:rFonts w:ascii="Arial" w:hAnsi="Arial" w:cs="Arial"/>
                <w:b/>
                <w:bCs/>
                <w:sz w:val="14"/>
                <w:szCs w:val="14"/>
              </w:rPr>
              <w:t>Metodo di consolidamento</w:t>
            </w:r>
          </w:p>
        </w:tc>
        <w:tc>
          <w:tcPr>
            <w:tcW w:w="705" w:type="dxa"/>
            <w:tcBorders>
              <w:top w:val="single" w:sz="6" w:space="0" w:color="auto"/>
              <w:left w:val="single" w:sz="6" w:space="0" w:color="auto"/>
              <w:bottom w:val="single" w:sz="6" w:space="0" w:color="auto"/>
              <w:right w:val="single" w:sz="6" w:space="0" w:color="auto"/>
            </w:tcBorders>
            <w:shd w:val="clear" w:color="auto" w:fill="E6E6E6"/>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4"/>
                <w:szCs w:val="14"/>
              </w:rPr>
            </w:pPr>
            <w:r w:rsidRPr="00211123">
              <w:rPr>
                <w:rFonts w:ascii="Arial" w:hAnsi="Arial" w:cs="Arial"/>
                <w:b/>
                <w:bCs/>
                <w:sz w:val="14"/>
                <w:szCs w:val="14"/>
              </w:rPr>
              <w:t>%</w:t>
            </w:r>
          </w:p>
        </w:tc>
        <w:tc>
          <w:tcPr>
            <w:tcW w:w="975" w:type="dxa"/>
            <w:tcBorders>
              <w:top w:val="single" w:sz="6" w:space="0" w:color="auto"/>
              <w:left w:val="single" w:sz="6" w:space="0" w:color="auto"/>
              <w:bottom w:val="single" w:sz="6" w:space="0" w:color="auto"/>
              <w:right w:val="single" w:sz="6" w:space="0" w:color="auto"/>
            </w:tcBorders>
            <w:shd w:val="clear" w:color="auto" w:fill="E6E6E6"/>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4"/>
                <w:szCs w:val="14"/>
              </w:rPr>
            </w:pPr>
            <w:r w:rsidRPr="00211123">
              <w:rPr>
                <w:rFonts w:ascii="Arial" w:hAnsi="Arial" w:cs="Arial"/>
                <w:b/>
                <w:bCs/>
                <w:sz w:val="14"/>
                <w:szCs w:val="14"/>
              </w:rPr>
              <w:t>Costo</w:t>
            </w:r>
          </w:p>
          <w:p w:rsidR="00211123" w:rsidRPr="00211123" w:rsidRDefault="00211123" w:rsidP="00211123">
            <w:pPr>
              <w:widowControl w:val="0"/>
              <w:autoSpaceDE w:val="0"/>
              <w:autoSpaceDN w:val="0"/>
              <w:adjustRightInd w:val="0"/>
              <w:spacing w:after="0" w:line="240" w:lineRule="auto"/>
              <w:jc w:val="center"/>
              <w:rPr>
                <w:rFonts w:ascii="Arial" w:hAnsi="Arial" w:cs="Arial"/>
                <w:b/>
                <w:bCs/>
                <w:sz w:val="14"/>
                <w:szCs w:val="14"/>
              </w:rPr>
            </w:pPr>
            <w:r w:rsidRPr="00211123">
              <w:rPr>
                <w:rFonts w:ascii="Arial" w:hAnsi="Arial" w:cs="Arial"/>
                <w:b/>
                <w:bCs/>
                <w:sz w:val="14"/>
                <w:szCs w:val="14"/>
              </w:rPr>
              <w:t>personale</w:t>
            </w:r>
          </w:p>
          <w:p w:rsidR="00211123" w:rsidRPr="00211123" w:rsidRDefault="00211123" w:rsidP="00211123">
            <w:pPr>
              <w:widowControl w:val="0"/>
              <w:autoSpaceDE w:val="0"/>
              <w:autoSpaceDN w:val="0"/>
              <w:adjustRightInd w:val="0"/>
              <w:spacing w:after="0" w:line="240" w:lineRule="auto"/>
              <w:jc w:val="center"/>
              <w:rPr>
                <w:rFonts w:ascii="Arial" w:hAnsi="Arial" w:cs="Arial"/>
                <w:b/>
                <w:bCs/>
                <w:sz w:val="14"/>
                <w:szCs w:val="14"/>
              </w:rPr>
            </w:pPr>
            <w:r w:rsidRPr="00211123">
              <w:rPr>
                <w:rFonts w:ascii="Arial" w:hAnsi="Arial" w:cs="Arial"/>
                <w:b/>
                <w:bCs/>
                <w:sz w:val="14"/>
                <w:szCs w:val="14"/>
              </w:rPr>
              <w:t>assoluto</w:t>
            </w:r>
          </w:p>
        </w:tc>
        <w:tc>
          <w:tcPr>
            <w:tcW w:w="1215" w:type="dxa"/>
            <w:tcBorders>
              <w:top w:val="single" w:sz="6" w:space="0" w:color="auto"/>
              <w:left w:val="single" w:sz="6" w:space="0" w:color="auto"/>
              <w:bottom w:val="single" w:sz="6" w:space="0" w:color="auto"/>
              <w:right w:val="single" w:sz="6" w:space="0" w:color="auto"/>
            </w:tcBorders>
            <w:shd w:val="clear" w:color="auto" w:fill="E6E6E6"/>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4"/>
                <w:szCs w:val="14"/>
              </w:rPr>
            </w:pPr>
            <w:r w:rsidRPr="00211123">
              <w:rPr>
                <w:rFonts w:ascii="Arial" w:hAnsi="Arial" w:cs="Arial"/>
                <w:b/>
                <w:bCs/>
                <w:sz w:val="14"/>
                <w:szCs w:val="14"/>
              </w:rPr>
              <w:t>Costo</w:t>
            </w:r>
          </w:p>
          <w:p w:rsidR="00211123" w:rsidRPr="00211123" w:rsidRDefault="00211123" w:rsidP="00211123">
            <w:pPr>
              <w:widowControl w:val="0"/>
              <w:autoSpaceDE w:val="0"/>
              <w:autoSpaceDN w:val="0"/>
              <w:adjustRightInd w:val="0"/>
              <w:spacing w:after="0" w:line="240" w:lineRule="auto"/>
              <w:jc w:val="center"/>
              <w:rPr>
                <w:rFonts w:ascii="Arial" w:hAnsi="Arial" w:cs="Arial"/>
                <w:b/>
                <w:bCs/>
                <w:sz w:val="14"/>
                <w:szCs w:val="14"/>
              </w:rPr>
            </w:pPr>
            <w:r w:rsidRPr="00211123">
              <w:rPr>
                <w:rFonts w:ascii="Arial" w:hAnsi="Arial" w:cs="Arial"/>
                <w:b/>
                <w:bCs/>
                <w:sz w:val="14"/>
                <w:szCs w:val="14"/>
              </w:rPr>
              <w:t>personale</w:t>
            </w:r>
          </w:p>
          <w:p w:rsidR="00211123" w:rsidRPr="00211123" w:rsidRDefault="00211123" w:rsidP="00211123">
            <w:pPr>
              <w:widowControl w:val="0"/>
              <w:autoSpaceDE w:val="0"/>
              <w:autoSpaceDN w:val="0"/>
              <w:adjustRightInd w:val="0"/>
              <w:spacing w:after="0" w:line="240" w:lineRule="auto"/>
              <w:jc w:val="center"/>
              <w:rPr>
                <w:rFonts w:ascii="Arial" w:hAnsi="Arial" w:cs="Arial"/>
                <w:b/>
                <w:bCs/>
                <w:sz w:val="14"/>
                <w:szCs w:val="14"/>
              </w:rPr>
            </w:pPr>
            <w:r w:rsidRPr="00211123">
              <w:rPr>
                <w:rFonts w:ascii="Arial" w:hAnsi="Arial" w:cs="Arial"/>
                <w:b/>
                <w:bCs/>
                <w:sz w:val="14"/>
                <w:szCs w:val="14"/>
              </w:rPr>
              <w:t>relativo</w:t>
            </w:r>
          </w:p>
        </w:tc>
      </w:tr>
      <w:tr w:rsidR="00211123" w:rsidRPr="00211123">
        <w:tc>
          <w:tcPr>
            <w:tcW w:w="2833"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4"/>
                <w:szCs w:val="14"/>
              </w:rPr>
            </w:pPr>
            <w:r w:rsidRPr="00211123">
              <w:rPr>
                <w:rFonts w:ascii="Arial" w:hAnsi="Arial" w:cs="Arial"/>
                <w:sz w:val="14"/>
                <w:szCs w:val="14"/>
              </w:rPr>
              <w:t>ANACAPRI SERVIZI SRL</w:t>
            </w:r>
          </w:p>
        </w:tc>
        <w:tc>
          <w:tcPr>
            <w:tcW w:w="1410"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4"/>
                <w:szCs w:val="14"/>
              </w:rPr>
            </w:pPr>
            <w:r w:rsidRPr="00211123">
              <w:rPr>
                <w:rFonts w:ascii="Arial" w:hAnsi="Arial" w:cs="Arial"/>
                <w:sz w:val="14"/>
                <w:szCs w:val="14"/>
              </w:rPr>
              <w:t>Società controllata</w:t>
            </w:r>
          </w:p>
        </w:tc>
        <w:tc>
          <w:tcPr>
            <w:tcW w:w="915"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4"/>
                <w:szCs w:val="14"/>
              </w:rPr>
            </w:pPr>
            <w:r w:rsidRPr="00211123">
              <w:rPr>
                <w:rFonts w:ascii="Arial" w:hAnsi="Arial" w:cs="Arial"/>
                <w:sz w:val="14"/>
                <w:szCs w:val="14"/>
              </w:rPr>
              <w:t>H</w:t>
            </w:r>
          </w:p>
        </w:tc>
        <w:tc>
          <w:tcPr>
            <w:tcW w:w="1515"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sz w:val="14"/>
                <w:szCs w:val="14"/>
              </w:rPr>
            </w:pPr>
            <w:r w:rsidRPr="00211123">
              <w:rPr>
                <w:rFonts w:ascii="Arial" w:hAnsi="Arial" w:cs="Arial"/>
                <w:sz w:val="14"/>
                <w:szCs w:val="14"/>
              </w:rPr>
              <w:t>Integrale</w:t>
            </w:r>
          </w:p>
        </w:tc>
        <w:tc>
          <w:tcPr>
            <w:tcW w:w="705"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4"/>
                <w:szCs w:val="14"/>
              </w:rPr>
            </w:pPr>
            <w:r w:rsidRPr="00211123">
              <w:rPr>
                <w:rFonts w:ascii="Arial" w:hAnsi="Arial" w:cs="Arial"/>
                <w:sz w:val="14"/>
                <w:szCs w:val="14"/>
              </w:rPr>
              <w:t>100,00%</w:t>
            </w:r>
          </w:p>
        </w:tc>
        <w:tc>
          <w:tcPr>
            <w:tcW w:w="975"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4"/>
                <w:szCs w:val="14"/>
              </w:rPr>
            </w:pPr>
            <w:r w:rsidRPr="00211123">
              <w:rPr>
                <w:rFonts w:ascii="Arial" w:hAnsi="Arial" w:cs="Arial"/>
                <w:sz w:val="14"/>
                <w:szCs w:val="14"/>
              </w:rPr>
              <w:t>1.429.184,00</w:t>
            </w:r>
          </w:p>
        </w:tc>
        <w:tc>
          <w:tcPr>
            <w:tcW w:w="1215"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4"/>
                <w:szCs w:val="14"/>
              </w:rPr>
            </w:pPr>
            <w:r w:rsidRPr="00211123">
              <w:rPr>
                <w:rFonts w:ascii="Arial" w:hAnsi="Arial" w:cs="Arial"/>
                <w:sz w:val="14"/>
                <w:szCs w:val="14"/>
              </w:rPr>
              <w:t>1.429.184,00</w:t>
            </w:r>
          </w:p>
        </w:tc>
      </w:tr>
    </w:tbl>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Si segnala che dalle società ed enti inseriti nel perimetro di consolidamento</w:t>
      </w:r>
      <w:r w:rsidR="00F92A47">
        <w:rPr>
          <w:rFonts w:ascii="Arial" w:hAnsi="Arial" w:cs="Arial"/>
          <w:sz w:val="24"/>
          <w:szCs w:val="24"/>
        </w:rPr>
        <w:t xml:space="preserve"> non derivano</w:t>
      </w:r>
      <w:r w:rsidRPr="00211123">
        <w:rPr>
          <w:rFonts w:ascii="Arial" w:hAnsi="Arial" w:cs="Arial"/>
          <w:sz w:val="24"/>
          <w:szCs w:val="24"/>
        </w:rPr>
        <w:t xml:space="preserve"> perdite ripianate dall’ente in conto esercizio.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numPr>
          <w:ilvl w:val="0"/>
          <w:numId w:val="6"/>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Variazione del perimetro di consolidamento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Non vi sono variazioni da segnalare, trattandosi del primo anno di applicazione dell’istituto.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numPr>
          <w:ilvl w:val="0"/>
          <w:numId w:val="6"/>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Principi di consolidamento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Arial" w:hAnsi="Arial" w:cs="Arial"/>
          <w:color w:val="000000"/>
          <w:sz w:val="24"/>
          <w:szCs w:val="24"/>
        </w:rPr>
      </w:pPr>
      <w:r w:rsidRPr="00211123">
        <w:rPr>
          <w:rFonts w:ascii="Arial" w:hAnsi="Arial" w:cs="Arial"/>
          <w:color w:val="000000"/>
          <w:sz w:val="24"/>
          <w:szCs w:val="24"/>
        </w:rPr>
        <w:t>I principi di consolidamento adottati per la redazione del bilancio consolidato sono i seguenti:</w:t>
      </w:r>
    </w:p>
    <w:p w:rsidR="00211123" w:rsidRPr="00211123" w:rsidRDefault="00211123" w:rsidP="00211123">
      <w:pPr>
        <w:numPr>
          <w:ilvl w:val="0"/>
          <w:numId w:val="7"/>
        </w:numPr>
        <w:tabs>
          <w:tab w:val="decimal"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color w:val="000000"/>
          <w:sz w:val="24"/>
          <w:szCs w:val="24"/>
        </w:rPr>
      </w:pPr>
      <w:r w:rsidRPr="00211123">
        <w:rPr>
          <w:rFonts w:ascii="Arial" w:hAnsi="Arial" w:cs="Arial"/>
          <w:color w:val="000000"/>
          <w:sz w:val="24"/>
          <w:szCs w:val="24"/>
        </w:rPr>
        <w:t>Il valore contabile delle partecipazioni consolidate, secondo il metodo integrale, in sede di primo consolidamento è eliminato a fronte del patrimonio netto delle imprese partecipate valutato a valori correnti. La differenza tra il costo di acquisizione delle partecipazioni e la relativa quota di patrimonio netto, risultante all'atto dell'acquisto, è imputata alle specifiche voci dell'attivo e del passivo sulla base di apposite valutazioni. L'eventuale differenza residua negativa è iscritta in una voce del patrimonio netto denominata "Riserva di consolidamento"; se positiva, qualora non allocabile a specifiche voci dell'attivo e del passivo dello stato patrimoniale, è iscritta in una voce dell'attivo denominata "Differenza di consolidamento" oppure, in assenza di utilità futura, è portata in detrazione della "Riserva di consolidamento" fino a concorrenza della medesima, con eventuale addebito a Conto Economico della parte residua;</w:t>
      </w:r>
    </w:p>
    <w:p w:rsidR="00211123" w:rsidRPr="00211123" w:rsidRDefault="00211123" w:rsidP="00211123">
      <w:pPr>
        <w:numPr>
          <w:ilvl w:val="0"/>
          <w:numId w:val="7"/>
        </w:numPr>
        <w:tabs>
          <w:tab w:val="decimal"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color w:val="000000"/>
          <w:sz w:val="24"/>
          <w:szCs w:val="24"/>
        </w:rPr>
      </w:pPr>
      <w:r w:rsidRPr="00211123">
        <w:rPr>
          <w:rFonts w:ascii="Arial" w:hAnsi="Arial" w:cs="Arial"/>
          <w:color w:val="000000"/>
          <w:sz w:val="24"/>
          <w:szCs w:val="24"/>
        </w:rPr>
        <w:t>Le attività, le passività, i costi, gli oneri, i ricavi e proventi delle imprese incluse nell'area di consolidamento con il metodo integrale sono assunti per intero nel bilancio consolidato a prescindere dalla percentuale di partecipazione dell'impresa controllante;</w:t>
      </w:r>
    </w:p>
    <w:p w:rsidR="00211123" w:rsidRPr="00211123" w:rsidRDefault="00211123" w:rsidP="00211123">
      <w:pPr>
        <w:numPr>
          <w:ilvl w:val="0"/>
          <w:numId w:val="7"/>
        </w:numPr>
        <w:tabs>
          <w:tab w:val="decimal"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color w:val="000000"/>
          <w:sz w:val="24"/>
          <w:szCs w:val="24"/>
        </w:rPr>
      </w:pPr>
      <w:r w:rsidRPr="00211123">
        <w:rPr>
          <w:rFonts w:ascii="Arial" w:hAnsi="Arial" w:cs="Arial"/>
          <w:color w:val="000000"/>
          <w:sz w:val="24"/>
          <w:szCs w:val="24"/>
        </w:rPr>
        <w:t>I dividendi, le rivalutazioni e le svalutazioni di partecipazioni in imprese incluse nell'area di consolidamento, nonché le plusvalenze e le minusvalenze derivanti da alienazioni infragruppo di tali partecipazioni sono oggetto di eliminazione;</w:t>
      </w:r>
    </w:p>
    <w:p w:rsidR="00211123" w:rsidRPr="00211123" w:rsidRDefault="00211123" w:rsidP="00211123">
      <w:pPr>
        <w:numPr>
          <w:ilvl w:val="0"/>
          <w:numId w:val="7"/>
        </w:numPr>
        <w:tabs>
          <w:tab w:val="decimal"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color w:val="000000"/>
          <w:sz w:val="24"/>
          <w:szCs w:val="24"/>
        </w:rPr>
      </w:pPr>
      <w:r w:rsidRPr="00211123">
        <w:rPr>
          <w:rFonts w:ascii="Arial" w:hAnsi="Arial" w:cs="Arial"/>
          <w:color w:val="000000"/>
          <w:sz w:val="24"/>
          <w:szCs w:val="24"/>
        </w:rPr>
        <w:lastRenderedPageBreak/>
        <w:t>In sede di determinazione del patrimonio netto e del risultato economico di Gruppo, le quote di competenza di soci terzi sono evidenziate in apposite voci dello stato patrimoniale e del conto economico;</w:t>
      </w:r>
    </w:p>
    <w:p w:rsidR="00211123" w:rsidRPr="00211123" w:rsidRDefault="00211123" w:rsidP="00211123">
      <w:pPr>
        <w:numPr>
          <w:ilvl w:val="0"/>
          <w:numId w:val="7"/>
        </w:numPr>
        <w:tabs>
          <w:tab w:val="decimal"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color w:val="000000"/>
          <w:sz w:val="24"/>
          <w:szCs w:val="24"/>
        </w:rPr>
      </w:pPr>
      <w:r w:rsidRPr="00211123">
        <w:rPr>
          <w:rFonts w:ascii="Arial" w:hAnsi="Arial" w:cs="Arial"/>
          <w:color w:val="000000"/>
          <w:sz w:val="24"/>
          <w:szCs w:val="24"/>
        </w:rPr>
        <w:t>I crediti, i debiti, i costi, gli oneri, i ricavi e i proventi relativi alle imprese incluse nell'area di consolidamento sono oggetto di eliminazione, così come sono altresì oggetto di eliminazione le garanzie, gli impegni ed i rischi relativi alle imprese in questione.</w:t>
      </w:r>
    </w:p>
    <w:p w:rsidR="00211123" w:rsidRPr="00211123" w:rsidRDefault="00211123" w:rsidP="00211123">
      <w:pPr>
        <w:numPr>
          <w:ilvl w:val="0"/>
          <w:numId w:val="7"/>
        </w:numPr>
        <w:tabs>
          <w:tab w:val="decimal"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color w:val="000000"/>
          <w:sz w:val="24"/>
          <w:szCs w:val="24"/>
        </w:rPr>
      </w:pPr>
      <w:r w:rsidRPr="00211123">
        <w:rPr>
          <w:rFonts w:ascii="Arial" w:hAnsi="Arial" w:cs="Arial"/>
          <w:color w:val="000000"/>
          <w:sz w:val="24"/>
          <w:szCs w:val="24"/>
        </w:rPr>
        <w:t>Gli utili e le perdite derivanti da operazioni effettuate tra le imprese incluse nell'area di consolidamento e non ancora realizzati alla data di bilancio sono oggetto di eliminazione. L'eliminazione non è effettuata quando gli utili o le perdite sono di importo irrilevante;</w:t>
      </w:r>
    </w:p>
    <w:p w:rsidR="00211123" w:rsidRPr="00211123" w:rsidRDefault="00211123" w:rsidP="00211123">
      <w:pPr>
        <w:numPr>
          <w:ilvl w:val="0"/>
          <w:numId w:val="7"/>
        </w:numPr>
        <w:tabs>
          <w:tab w:val="decimal"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0" w:firstLine="0"/>
        <w:rPr>
          <w:rFonts w:ascii="Arial" w:hAnsi="Arial" w:cs="Arial"/>
          <w:color w:val="000000"/>
          <w:sz w:val="24"/>
          <w:szCs w:val="24"/>
        </w:rPr>
      </w:pPr>
      <w:r w:rsidRPr="00211123">
        <w:rPr>
          <w:rFonts w:ascii="Arial" w:hAnsi="Arial" w:cs="Arial"/>
          <w:color w:val="000000"/>
          <w:sz w:val="24"/>
          <w:szCs w:val="24"/>
        </w:rPr>
        <w:t>I principi di consolidamento non stati modificati rispetto a quelli dell’esercizio precedente;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numPr>
          <w:ilvl w:val="0"/>
          <w:numId w:val="6"/>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Bilanci utilizzati ai fini del consolidamento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Ai fini della predisposizione del bilancio consolidato sono stati utilizzati i bilanci al 31 dicembre 2016 di tutti gli organismi e le società del Gruppo, già approvati dai rispettivi organi amministrativi, opportunamente rettificati ove necessario per omogeneizzarne i criteri di valutazione ai fini delle operazioni di consolidamento.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sz w:val="24"/>
          <w:szCs w:val="24"/>
        </w:rPr>
      </w:pPr>
      <w:r w:rsidRPr="00211123">
        <w:rPr>
          <w:rFonts w:ascii="Arial" w:hAnsi="Arial" w:cs="Arial"/>
          <w:b/>
          <w:bCs/>
          <w:sz w:val="24"/>
          <w:szCs w:val="24"/>
        </w:rPr>
        <w:t>2.2 Criteri di valutazione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u w:val="single"/>
        </w:rPr>
        <w:t>Criteri generali</w:t>
      </w:r>
      <w:r w:rsidRPr="00211123">
        <w:rPr>
          <w:rFonts w:ascii="Arial" w:hAnsi="Arial" w:cs="Arial"/>
          <w:sz w:val="24"/>
          <w:szCs w:val="24"/>
        </w:rPr>
        <w:t xml:space="preserve"> - L’analisi della comparazione dei criteri di valutazione è stata effettuata esclusivamente nei confronti delle società partecipate e non nei confronti degli enti strumentali controllati poiché, essendo enti in contabilità finanziaria che partecipano al bilancio consolidato, l’uniformità dei bilanci è garantita dalle disposizioni del decreto legislativo 118/2011 – principio contabile applicato alla contabilità finanziaria.</w:t>
      </w:r>
    </w:p>
    <w:p w:rsidR="00211123" w:rsidRPr="009B5B9A"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I principi contabili e i criteri di valutazione sono stati applicati in modo uniforme a tutte le imprese consolidate. I criteri utilizzati nella formazione del consolidato sono quelli utilizzati, per quanto compatibili, nel bilancio d'esercizio dell'impresa Capogruppo e sono conformi alle disposizioni legislative vigenti. </w:t>
      </w:r>
      <w:r w:rsidRPr="009B5B9A">
        <w:rPr>
          <w:rFonts w:ascii="Arial" w:hAnsi="Arial" w:cs="Arial"/>
          <w:sz w:val="24"/>
          <w:szCs w:val="24"/>
        </w:rPr>
        <w:t>I criteri utilizzati nell’esercizio testé chiuso non si discostano dai medesimi utilizzati per l’elaborazione dei dati relativi al precedente esercizio.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La valutazione delle voci di bilancio è stata fatta ispirandosi a criteri generali di prudenza, competenza e prospettiva della continuazione dell'attività. Ai fini delle </w:t>
      </w:r>
      <w:proofErr w:type="spellStart"/>
      <w:r w:rsidRPr="00211123">
        <w:rPr>
          <w:rFonts w:ascii="Arial" w:hAnsi="Arial" w:cs="Arial"/>
          <w:sz w:val="24"/>
          <w:szCs w:val="24"/>
        </w:rPr>
        <w:t>appostazioni</w:t>
      </w:r>
      <w:proofErr w:type="spellEnd"/>
      <w:r w:rsidRPr="00211123">
        <w:rPr>
          <w:rFonts w:ascii="Arial" w:hAnsi="Arial" w:cs="Arial"/>
          <w:sz w:val="24"/>
          <w:szCs w:val="24"/>
        </w:rPr>
        <w:t xml:space="preserve"> </w:t>
      </w:r>
      <w:r w:rsidRPr="00211123">
        <w:rPr>
          <w:rFonts w:ascii="Arial" w:hAnsi="Arial" w:cs="Arial"/>
          <w:sz w:val="24"/>
          <w:szCs w:val="24"/>
        </w:rPr>
        <w:lastRenderedPageBreak/>
        <w:t>contabili, viene data prevalenza alla sostanza economica delle operazioni piuttosto che alla loro forma giuridica.</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u w:val="single"/>
        </w:rPr>
        <w:t>Rettifiche di valore e riprese di valore</w:t>
      </w:r>
      <w:r w:rsidRPr="00211123">
        <w:rPr>
          <w:rFonts w:ascii="Arial" w:hAnsi="Arial" w:cs="Arial"/>
          <w:sz w:val="24"/>
          <w:szCs w:val="24"/>
        </w:rPr>
        <w:t xml:space="preserve"> - Il valore dei beni materiali ed immateriali la cui durata utile è limitata nel tempo è rettificato in diminuzione attraverso lo strumento dell’ammortamento. Gli stessi beni e le altri componenti dell’attivo sono svalutati ogni qualvolta si sia riscontrata una perdita durevole di valore; il valore originario è ripristinato nella misura in cui si reputi che i motivi della precedente svalutazione siano venuti meno.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u w:val="single"/>
        </w:rPr>
        <w:t>Rivalutazioni e deroghe</w:t>
      </w:r>
      <w:r w:rsidRPr="00211123">
        <w:rPr>
          <w:rFonts w:ascii="Arial" w:hAnsi="Arial" w:cs="Arial"/>
          <w:sz w:val="24"/>
          <w:szCs w:val="24"/>
        </w:rPr>
        <w:t xml:space="preserve"> - Nell’esercizio in corso </w:t>
      </w:r>
      <w:r w:rsidR="009B5B9A">
        <w:rPr>
          <w:rFonts w:ascii="Arial" w:hAnsi="Arial" w:cs="Arial"/>
          <w:sz w:val="24"/>
          <w:szCs w:val="24"/>
        </w:rPr>
        <w:t xml:space="preserve">non sono </w:t>
      </w:r>
      <w:r w:rsidRPr="00211123">
        <w:rPr>
          <w:rFonts w:ascii="Arial" w:hAnsi="Arial" w:cs="Arial"/>
          <w:sz w:val="24"/>
          <w:szCs w:val="24"/>
        </w:rPr>
        <w:t>state fatte rivalutazioni e non sono state operate deroghe ai criteri di valutazione, ad eccezione di quelle sopra evidenziate, previsti dalla legislazione sul bilancio d’esercizio e consolidato.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u w:val="single"/>
        </w:rPr>
        <w:t>Applicazione di principi contabili uniformi</w:t>
      </w:r>
      <w:r w:rsidRPr="00211123">
        <w:rPr>
          <w:rFonts w:ascii="Arial" w:hAnsi="Arial" w:cs="Arial"/>
          <w:sz w:val="24"/>
          <w:szCs w:val="24"/>
        </w:rPr>
        <w:t xml:space="preserve"> - Gli organismi e le società comprese nel perimetro di consolidamento hanno applicato principi contabili corretti, sostanzialmente conformi alla normativa vigente e sufficientemente omogenei con i principi adottati dalla capogruppo. Dall’analisi delle diverse note integrative delle società partecipanti al gruppo si è desunta una sostanziale conformità dei principi contabili adottati tranne che per le diverse aliquote di ammortamento ed i criteri di valorizzazione del magazzino. Ai sensi Principio contabile n.4, le medesime non hanno ottenuto omogeneizzazione poiché discendenti da differenti peculiarità aziendali non sovrapponibili con i coefficienti annui di ammortamento proprie della capogruppo (individuati nel principio contabile applicato concernente la contabilità economico - patrimoniale degli enti in contabilità finanziaria - punto 4.18) e, per ragioni di veridicità e correttezza nella rappresentazione dei dati di bilancio, sono rimaste inalterate; medesima analisi si è svolta per il magazzino.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Conseguentemente non è stato necessario apportare modifiche nelle scritture contabili delle società partecipate.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In particolare, i criteri di valutazione adottati nella formazione del bilancio sono stati i seguenti.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Immobilizzazioni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Immateriali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Sono iscritte al costo storico di acquisizione o di produzione interna ed esposte al netto degli ammortamenti effettuati nel corso degli esercizi e imputati direttamente alle singole voci.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Materiali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lastRenderedPageBreak/>
        <w:t>Sono iscritte al costo di acquisto o di produzione e rettificate dai corrispondenti fondi di ammortamento. Nel valore di iscrizione in bilancio si è tenuto conto degli oneri accessori e dei costi sostenuti per l'utilizzo dell'immobilizzazione.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I beni mobili ricevuti a titolo gratuito sono iscritti al valore normale.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Finanziarie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Sono generalmente iscritte al costo di acquisto, comprensivo degli oneri accessori. </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Le partecipazioni in società controllate e partecipate sono valutate in base al “metodo del patrimonio netto” di cui all’art. 2426 n. 4 codice civile. Nel caso in cui non risulti possibile acquisire il bilancio di esercizio o il rendiconto (o i relativi schemi predisposti ai fini dell’approvazione) la partecipazione è iscritta nello stato patrimoniale al costo di acquisto.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Per i crediti concessi dall’ente il valore è determinato dallo stock di crediti concessi, risultante alla fine dell’esercizio precedente, più gli accertamenti per riscossione crediti imputati all’esercizio in corso e agli esercizi successivi a fronte di impegni assunti nell’esercizio per concessioni di credito, al netto degli incassi realizzati per riscossioni di crediti. </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I derivati di ammortamento sono iscritti al valore nominale delle risorse che l’ente ha il diritto di ricevere a seguito della sottoscrizione del derivato per estinguere, a scadenza, la passività sottostante, rettificato del debito residuo a carico dell’ente derivante dalla sottoscrizione del contratto di derivato, generato dall’obbligo di effettuare versamenti periodici al fine di costituire le risorse che, a scadenza, saranno acquisite per l’estinzione della passività sottostante.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Attivo circolante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Rimanenze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Sono iscritte al minore fra costo e valore di presumibile realizzazione desunto dall’andamento del mercato (art. 2426, n. 9, codice civile).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I crediti di funzionamento sono iscritti al valore nominale, ricondotto al presumibile valore di realizzo, attraverso apposito fondo svalutazione crediti portato a diretta diminuzione degli stessi. </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Attività finanziarie che non costituiscono immobilizzazioni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Sono valutate al minore fra il costo di acquisizione e il presumibile valore di realizzo desumibile dall’andamento del mercato.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Ratei e Risconti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lastRenderedPageBreak/>
        <w:t>Sono stati determinati secondo il criterio dell'effettiva competenza temporale dell'esercizio.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Passivo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Fondi per rischi e oneri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Sono stanziati per coprire perdite o debiti di esistenza certa o probabile, dei quali tuttavia alla chiusura dell'esercizio non erano determinabili l'ammontare o la data di sopravvenienza. </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Nella valutazione di tali fondi sono stati rispettati i postulati della prudenza e della competenza e non si è proceduto alla costituzione di fondi rischi generici privi di giustificazione economica. </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Le passività potenziali sono state rilevate in bilancio e iscritte nei fondi in quanto ritenute probabili ed essendo stimabile con ragionevolezza l'ammontare del relativo onere.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Trattamento di Fine Rapporto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Rappresenta l'effettivo debito maturato verso i dipendenti in conformità di legge e dei contratti di lavoro vigenti, considerando ogni forma di remunerazione avente carattere continuativo.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Debiti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Sono generalmente rilevati al loro valore nominale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I debiti da finanziamento dell’ente sono determinati dalla somma algebrica del debito all’inizio dell’esercizio più gli accertamenti sulle accensioni di prestiti effettuati nell’esercizio meno i pagamenti per rimborso di prestiti.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I debiti verso fornitori sono iscritti nello stato patrimoniale solo se corrispondenti a obbligazioni giuridiche perfezionate esigibili per le quali il servizio è stato reso o è avvenuto lo scambio dei beni.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La corretta applicazione del principio della competenza finanziaria garantisce la corrispondenza tra i residui passivi diversi da quelli di finanziamento e l’ammontare dei debiti di funzionamento. </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I debiti sono esposti al loro valore nominale.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br w:type="page"/>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sz w:val="24"/>
          <w:szCs w:val="24"/>
        </w:rPr>
      </w:pPr>
      <w:r w:rsidRPr="00211123">
        <w:rPr>
          <w:rFonts w:ascii="Arial" w:hAnsi="Arial" w:cs="Arial"/>
          <w:b/>
          <w:bCs/>
          <w:sz w:val="24"/>
          <w:szCs w:val="24"/>
        </w:rPr>
        <w:lastRenderedPageBreak/>
        <w:t>3 ANALISI DELLE PRINCIPALI VOCI DEL BILANCIO E DELLE VARIAZIONI SIGNIFICATIVE INTERVENUTE NELLA LORO CONSISTENZA</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sz w:val="24"/>
          <w:szCs w:val="24"/>
        </w:rPr>
      </w:pPr>
    </w:p>
    <w:p w:rsidR="00211123" w:rsidRPr="009B5B9A"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9B5B9A">
        <w:rPr>
          <w:rFonts w:ascii="Arial" w:hAnsi="Arial" w:cs="Arial"/>
          <w:sz w:val="24"/>
          <w:szCs w:val="24"/>
        </w:rPr>
        <w:t xml:space="preserve">Preliminarmente si ribadisce che, trattandosi del primo anno di redazione del bilancio consolidato, sensi del punto n.5 del Principio contabile applicato concernente il bilancio consolidato, le variazioni intervenute nella consistenza delle voci di bilancio rispetto all’esercizio precedente non sono state valorizzate, non disponendo del bilancio consolidato relativo al 2015. </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sz w:val="24"/>
          <w:szCs w:val="24"/>
        </w:rPr>
      </w:pPr>
      <w:r w:rsidRPr="00211123">
        <w:rPr>
          <w:rFonts w:ascii="Arial" w:hAnsi="Arial" w:cs="Arial"/>
          <w:b/>
          <w:bCs/>
          <w:sz w:val="24"/>
          <w:szCs w:val="24"/>
        </w:rPr>
        <w:t>3.1 Stato patrimoniale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Seguendo quanto disposto dalla normativa e dai principi contabili applicati, le principali variazioni nelle consistenze delle voci dell’attivo e del passivo rispetto all’esercizio precedente sono così riassumibili: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numPr>
          <w:ilvl w:val="0"/>
          <w:numId w:val="6"/>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Immobilizzazioni immateriali</w:t>
      </w:r>
    </w:p>
    <w:tbl>
      <w:tblPr>
        <w:tblW w:w="0" w:type="auto"/>
        <w:tblLayout w:type="fixed"/>
        <w:tblCellMar>
          <w:top w:w="28" w:type="dxa"/>
          <w:left w:w="28" w:type="dxa"/>
          <w:bottom w:w="28" w:type="dxa"/>
          <w:right w:w="35" w:type="dxa"/>
        </w:tblCellMar>
        <w:tblLook w:val="0000"/>
      </w:tblPr>
      <w:tblGrid>
        <w:gridCol w:w="2833"/>
        <w:gridCol w:w="1710"/>
        <w:gridCol w:w="1695"/>
        <w:gridCol w:w="1680"/>
        <w:gridCol w:w="1697"/>
      </w:tblGrid>
      <w:tr w:rsidR="00211123" w:rsidRPr="00211123">
        <w:tc>
          <w:tcPr>
            <w:tcW w:w="2833" w:type="dxa"/>
            <w:tcBorders>
              <w:top w:val="nil"/>
              <w:left w:val="nil"/>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p>
        </w:tc>
        <w:tc>
          <w:tcPr>
            <w:tcW w:w="171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31/12/2015</w:t>
            </w:r>
          </w:p>
        </w:tc>
        <w:tc>
          <w:tcPr>
            <w:tcW w:w="1695"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Incrementi</w:t>
            </w:r>
          </w:p>
        </w:tc>
        <w:tc>
          <w:tcPr>
            <w:tcW w:w="168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Decrementi</w:t>
            </w:r>
          </w:p>
        </w:tc>
        <w:tc>
          <w:tcPr>
            <w:tcW w:w="1697" w:type="dxa"/>
            <w:tcBorders>
              <w:top w:val="single" w:sz="6" w:space="0" w:color="auto"/>
              <w:left w:val="single" w:sz="2" w:space="0" w:color="auto"/>
              <w:bottom w:val="single" w:sz="6" w:space="0" w:color="auto"/>
              <w:right w:val="single" w:sz="6" w:space="0" w:color="auto"/>
            </w:tcBorders>
            <w:shd w:val="clear" w:color="auto" w:fill="E6E6E6"/>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31/12/2016</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1  Costi di impianto e di ampliamento</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2  Costi di ricerca sviluppo e pubblicità</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3  Diritti di brevetto ed utilizzazione opere dell'ingegno</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53.788,47</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4  Concessioni, licenze, marchi e diritti simile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5  Avviamento</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6  Immobilizzazioni in corso ed acconti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9  Altre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38059F" w:rsidP="0038059F">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45</w:t>
            </w:r>
            <w:r w:rsidR="00211123" w:rsidRPr="00211123">
              <w:rPr>
                <w:rFonts w:ascii="Arial" w:hAnsi="Arial" w:cs="Arial"/>
                <w:sz w:val="16"/>
                <w:szCs w:val="16"/>
              </w:rPr>
              <w:t>.</w:t>
            </w:r>
            <w:r>
              <w:rPr>
                <w:rFonts w:ascii="Arial" w:hAnsi="Arial" w:cs="Arial"/>
                <w:sz w:val="16"/>
                <w:szCs w:val="16"/>
              </w:rPr>
              <w:t>494</w:t>
            </w:r>
            <w:r w:rsidR="00211123" w:rsidRPr="00211123">
              <w:rPr>
                <w:rFonts w:ascii="Arial" w:hAnsi="Arial" w:cs="Arial"/>
                <w:sz w:val="16"/>
                <w:szCs w:val="16"/>
              </w:rPr>
              <w:t>,00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Totale immobilizzazioni immateriali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38059F">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9</w:t>
            </w:r>
            <w:r w:rsidR="0038059F">
              <w:rPr>
                <w:rFonts w:ascii="Arial" w:hAnsi="Arial" w:cs="Arial"/>
                <w:sz w:val="16"/>
                <w:szCs w:val="16"/>
              </w:rPr>
              <w:t>9.282,47</w:t>
            </w:r>
          </w:p>
        </w:tc>
      </w:tr>
    </w:tbl>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sz w:val="24"/>
          <w:szCs w:val="24"/>
        </w:rPr>
      </w:pPr>
    </w:p>
    <w:p w:rsidR="00211123" w:rsidRPr="0038059F"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38059F">
        <w:rPr>
          <w:rFonts w:ascii="Arial" w:hAnsi="Arial" w:cs="Arial"/>
          <w:sz w:val="24"/>
          <w:szCs w:val="24"/>
        </w:rPr>
        <w:t>Nella voce “diritti di brevetto industriale” sono iscritti i costi per l’acquisto di software di proprietà di terzi.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La voce “Altre Immobilizzazioni Immateriali” è relativa </w:t>
      </w:r>
      <w:r w:rsidR="00DB6EA7">
        <w:rPr>
          <w:rFonts w:ascii="Arial" w:hAnsi="Arial" w:cs="Arial"/>
          <w:sz w:val="24"/>
          <w:szCs w:val="24"/>
        </w:rPr>
        <w:t xml:space="preserve">prevalentemente </w:t>
      </w:r>
      <w:r w:rsidRPr="00211123">
        <w:rPr>
          <w:rFonts w:ascii="Arial" w:hAnsi="Arial" w:cs="Arial"/>
          <w:sz w:val="24"/>
          <w:szCs w:val="24"/>
        </w:rPr>
        <w:t xml:space="preserve">alle spese straordinarie sostenute per spese </w:t>
      </w:r>
      <w:proofErr w:type="spellStart"/>
      <w:r w:rsidRPr="00211123">
        <w:rPr>
          <w:rFonts w:ascii="Arial" w:hAnsi="Arial" w:cs="Arial"/>
          <w:sz w:val="24"/>
          <w:szCs w:val="24"/>
        </w:rPr>
        <w:t>incre</w:t>
      </w:r>
      <w:r w:rsidR="00DB6EA7">
        <w:rPr>
          <w:rFonts w:ascii="Arial" w:hAnsi="Arial" w:cs="Arial"/>
          <w:sz w:val="24"/>
          <w:szCs w:val="24"/>
        </w:rPr>
        <w:t>mentative</w:t>
      </w:r>
      <w:proofErr w:type="spellEnd"/>
      <w:r w:rsidR="00DB6EA7">
        <w:rPr>
          <w:rFonts w:ascii="Arial" w:hAnsi="Arial" w:cs="Arial"/>
          <w:sz w:val="24"/>
          <w:szCs w:val="24"/>
        </w:rPr>
        <w:t xml:space="preserve"> su beni di terzi.</w:t>
      </w:r>
    </w:p>
    <w:p w:rsid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38059F" w:rsidRDefault="0038059F"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38059F" w:rsidRDefault="0038059F"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38059F" w:rsidRDefault="0038059F"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38059F" w:rsidRDefault="0038059F"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38059F" w:rsidRPr="00211123" w:rsidRDefault="0038059F"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numPr>
          <w:ilvl w:val="0"/>
          <w:numId w:val="6"/>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lastRenderedPageBreak/>
        <w:t>Immobilizzazioni materiali</w:t>
      </w:r>
    </w:p>
    <w:tbl>
      <w:tblPr>
        <w:tblW w:w="0" w:type="auto"/>
        <w:tblLayout w:type="fixed"/>
        <w:tblCellMar>
          <w:top w:w="28" w:type="dxa"/>
          <w:left w:w="28" w:type="dxa"/>
          <w:bottom w:w="28" w:type="dxa"/>
          <w:right w:w="35" w:type="dxa"/>
        </w:tblCellMar>
        <w:tblLook w:val="0000"/>
      </w:tblPr>
      <w:tblGrid>
        <w:gridCol w:w="2833"/>
        <w:gridCol w:w="1710"/>
        <w:gridCol w:w="1695"/>
        <w:gridCol w:w="1680"/>
        <w:gridCol w:w="1697"/>
      </w:tblGrid>
      <w:tr w:rsidR="00211123" w:rsidRPr="00211123">
        <w:tc>
          <w:tcPr>
            <w:tcW w:w="2833" w:type="dxa"/>
            <w:tcBorders>
              <w:top w:val="nil"/>
              <w:left w:val="nil"/>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p>
        </w:tc>
        <w:tc>
          <w:tcPr>
            <w:tcW w:w="171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31/12/2015</w:t>
            </w:r>
          </w:p>
        </w:tc>
        <w:tc>
          <w:tcPr>
            <w:tcW w:w="1695"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Incrementi</w:t>
            </w:r>
          </w:p>
        </w:tc>
        <w:tc>
          <w:tcPr>
            <w:tcW w:w="168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Decrementi</w:t>
            </w:r>
          </w:p>
        </w:tc>
        <w:tc>
          <w:tcPr>
            <w:tcW w:w="1697" w:type="dxa"/>
            <w:tcBorders>
              <w:top w:val="single" w:sz="6" w:space="0" w:color="auto"/>
              <w:left w:val="single" w:sz="2" w:space="0" w:color="auto"/>
              <w:bottom w:val="single" w:sz="6" w:space="0" w:color="auto"/>
              <w:right w:val="single" w:sz="6" w:space="0" w:color="auto"/>
            </w:tcBorders>
            <w:shd w:val="clear" w:color="auto" w:fill="E6E6E6"/>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31/12/2016</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1  Beni demaniali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23.574.857,72</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1.1  Terreni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1.2  Fabbricati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1.3  Infrastrutture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22.275.346,79</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1.9  Altri beni demaniali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1.299.510,93</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2  Altre immobilizzazioni materiali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19.856.247,94</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2.1  Terreni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766.102,52</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2.2  Fabbricati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17.283.326,07</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2.3  Impianti e macchinari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30.647,83</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2.4  Attrezzature industriali e commerciali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340.354,05</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2.5  Mezzi di trasporto</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70.859,82</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2.6  Macchine per ufficio e hardware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94.151,39</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2.7  Mobili e arredi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259.418,09</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2.8  Infrastrutture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79.057,56</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2.9  Diritti reali di godimento</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2.99  Altri beni materiali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592.465,82</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3  Immobilizzazioni in corso ed acconti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339.864,79</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Totale immobilizzazioni materiali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43.431.105,66</w:t>
            </w:r>
          </w:p>
        </w:tc>
      </w:tr>
    </w:tbl>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color w:val="FF0000"/>
          <w:sz w:val="24"/>
          <w:szCs w:val="24"/>
        </w:rPr>
      </w:pPr>
    </w:p>
    <w:p w:rsidR="00DD133F"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La presente voce evidenzia, in dettaglio, la composizione ed il valore degli </w:t>
      </w:r>
      <w:proofErr w:type="spellStart"/>
      <w:r w:rsidRPr="00211123">
        <w:rPr>
          <w:rFonts w:ascii="Arial" w:hAnsi="Arial" w:cs="Arial"/>
          <w:sz w:val="24"/>
          <w:szCs w:val="24"/>
        </w:rPr>
        <w:t>asset</w:t>
      </w:r>
      <w:proofErr w:type="spellEnd"/>
      <w:r w:rsidRPr="00211123">
        <w:rPr>
          <w:rFonts w:ascii="Arial" w:hAnsi="Arial" w:cs="Arial"/>
          <w:sz w:val="24"/>
          <w:szCs w:val="24"/>
        </w:rPr>
        <w:t xml:space="preserve"> patrimoniali del gruppo. In particolare, </w:t>
      </w:r>
      <w:r w:rsidR="00DD133F">
        <w:rPr>
          <w:rFonts w:ascii="Arial" w:hAnsi="Arial" w:cs="Arial"/>
          <w:sz w:val="24"/>
          <w:szCs w:val="24"/>
        </w:rPr>
        <w:t>il valore di bilancio delle immobilizzazioni materiali della Anacapri Servizi incide solo per Euro 159.336,00.</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A riguardo si evidenzia inoltre che, dall’analisi della documentazione a corredo dei bilanci redatti dagli organismi e società partecipanti al consolidamento: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C049D">
        <w:rPr>
          <w:rFonts w:ascii="Arial" w:hAnsi="Arial" w:cs="Arial"/>
          <w:sz w:val="24"/>
          <w:szCs w:val="24"/>
        </w:rPr>
        <w:t>Non sono state</w:t>
      </w:r>
      <w:r w:rsidRPr="00211123">
        <w:rPr>
          <w:rFonts w:ascii="Arial" w:hAnsi="Arial" w:cs="Arial"/>
          <w:sz w:val="24"/>
          <w:szCs w:val="24"/>
        </w:rPr>
        <w:t xml:space="preserve"> effettuate svalutazioni e/o ripristino di valore nel corso dell’esercizio (art. 2427, primo comma, </w:t>
      </w:r>
      <w:proofErr w:type="spellStart"/>
      <w:r w:rsidRPr="00211123">
        <w:rPr>
          <w:rFonts w:ascii="Arial" w:hAnsi="Arial" w:cs="Arial"/>
          <w:sz w:val="24"/>
          <w:szCs w:val="24"/>
        </w:rPr>
        <w:t>nn</w:t>
      </w:r>
      <w:proofErr w:type="spellEnd"/>
      <w:r w:rsidRPr="00211123">
        <w:rPr>
          <w:rFonts w:ascii="Arial" w:hAnsi="Arial" w:cs="Arial"/>
          <w:sz w:val="24"/>
          <w:szCs w:val="24"/>
        </w:rPr>
        <w:t>. 2 e 3-bis, C.c.).</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Non sono state effettuate rivalutazioni nel corso dell’esercizio (art. 2427, primo comma, n. 2, C.c.)</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numPr>
          <w:ilvl w:val="0"/>
          <w:numId w:val="6"/>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Immobilizzazioni finanziarie</w:t>
      </w:r>
    </w:p>
    <w:tbl>
      <w:tblPr>
        <w:tblW w:w="0" w:type="auto"/>
        <w:tblLayout w:type="fixed"/>
        <w:tblCellMar>
          <w:top w:w="28" w:type="dxa"/>
          <w:left w:w="28" w:type="dxa"/>
          <w:bottom w:w="28" w:type="dxa"/>
          <w:right w:w="35" w:type="dxa"/>
        </w:tblCellMar>
        <w:tblLook w:val="0000"/>
      </w:tblPr>
      <w:tblGrid>
        <w:gridCol w:w="2833"/>
        <w:gridCol w:w="1710"/>
        <w:gridCol w:w="1695"/>
        <w:gridCol w:w="1680"/>
        <w:gridCol w:w="1697"/>
      </w:tblGrid>
      <w:tr w:rsidR="00211123" w:rsidRPr="00211123">
        <w:tc>
          <w:tcPr>
            <w:tcW w:w="2833" w:type="dxa"/>
            <w:tcBorders>
              <w:top w:val="nil"/>
              <w:left w:val="nil"/>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p>
        </w:tc>
        <w:tc>
          <w:tcPr>
            <w:tcW w:w="171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31/12/2015</w:t>
            </w:r>
          </w:p>
        </w:tc>
        <w:tc>
          <w:tcPr>
            <w:tcW w:w="1695"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Incrementi</w:t>
            </w:r>
          </w:p>
        </w:tc>
        <w:tc>
          <w:tcPr>
            <w:tcW w:w="168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Decrementi</w:t>
            </w:r>
          </w:p>
        </w:tc>
        <w:tc>
          <w:tcPr>
            <w:tcW w:w="1697" w:type="dxa"/>
            <w:tcBorders>
              <w:top w:val="single" w:sz="6" w:space="0" w:color="auto"/>
              <w:left w:val="single" w:sz="2" w:space="0" w:color="auto"/>
              <w:bottom w:val="single" w:sz="6" w:space="0" w:color="auto"/>
              <w:right w:val="single" w:sz="6" w:space="0" w:color="auto"/>
            </w:tcBorders>
            <w:shd w:val="clear" w:color="auto" w:fill="E6E6E6"/>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31/12/2016</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1  Partecipazioni in</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38059F" w:rsidP="00211123">
            <w:pPr>
              <w:widowControl w:val="0"/>
              <w:autoSpaceDE w:val="0"/>
              <w:autoSpaceDN w:val="0"/>
              <w:adjustRightInd w:val="0"/>
              <w:spacing w:after="0" w:line="240" w:lineRule="auto"/>
              <w:jc w:val="right"/>
              <w:rPr>
                <w:rFonts w:ascii="Arial" w:hAnsi="Arial" w:cs="Arial"/>
                <w:sz w:val="16"/>
                <w:szCs w:val="16"/>
              </w:rPr>
            </w:pPr>
            <w:r>
              <w:rPr>
                <w:rFonts w:ascii="Arial" w:hAnsi="Arial" w:cs="Arial"/>
                <w:sz w:val="16"/>
                <w:szCs w:val="16"/>
              </w:rPr>
              <w:t>0</w:t>
            </w:r>
            <w:r w:rsidR="00211123" w:rsidRPr="00211123">
              <w:rPr>
                <w:rFonts w:ascii="Arial" w:hAnsi="Arial" w:cs="Arial"/>
                <w:sz w:val="16"/>
                <w:szCs w:val="16"/>
              </w:rPr>
              <w:t>,00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a imprese controllate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38059F">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-11</w:t>
            </w:r>
            <w:r w:rsidR="0038059F">
              <w:rPr>
                <w:rFonts w:ascii="Arial" w:hAnsi="Arial" w:cs="Arial"/>
                <w:sz w:val="16"/>
                <w:szCs w:val="16"/>
              </w:rPr>
              <w:t>5.772</w:t>
            </w:r>
            <w:r w:rsidRPr="00211123">
              <w:rPr>
                <w:rFonts w:ascii="Arial" w:hAnsi="Arial" w:cs="Arial"/>
                <w:sz w:val="16"/>
                <w:szCs w:val="16"/>
              </w:rPr>
              <w:t>,00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b imprese partecipate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115.772,00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c altri soggetti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2  Crediti verso</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342.541,83</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a altre amministrazioni pubbliche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295.451,02</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b imprese controllate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c imprese  partecipate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d altri soggetti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47.090,81</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3  Altri titoli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270,00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Totale immobilizzazioni finanziarie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496740">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34</w:t>
            </w:r>
            <w:r w:rsidR="00496740">
              <w:rPr>
                <w:rFonts w:ascii="Arial" w:hAnsi="Arial" w:cs="Arial"/>
                <w:sz w:val="16"/>
                <w:szCs w:val="16"/>
              </w:rPr>
              <w:t>2.811</w:t>
            </w:r>
            <w:r w:rsidRPr="00211123">
              <w:rPr>
                <w:rFonts w:ascii="Arial" w:hAnsi="Arial" w:cs="Arial"/>
                <w:sz w:val="16"/>
                <w:szCs w:val="16"/>
              </w:rPr>
              <w:t>,83</w:t>
            </w:r>
          </w:p>
        </w:tc>
      </w:tr>
    </w:tbl>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color w:val="FF0000"/>
          <w:sz w:val="24"/>
          <w:szCs w:val="24"/>
        </w:rPr>
      </w:pPr>
    </w:p>
    <w:p w:rsidR="00211123" w:rsidRPr="00F052CC" w:rsidRDefault="00F052CC"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F052CC">
        <w:rPr>
          <w:rFonts w:ascii="Arial" w:hAnsi="Arial" w:cs="Arial"/>
          <w:sz w:val="24"/>
          <w:szCs w:val="24"/>
        </w:rPr>
        <w:lastRenderedPageBreak/>
        <w:t>Si è proceduto all’elisione del valore del capitale sociale della società partecipata. Gli altri crediti sono riferibili esclusivamente alla gestione del Comune di Anacapri.</w:t>
      </w:r>
    </w:p>
    <w:p w:rsidR="00F052CC"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Non sono intervenute variazioni nelle quote di possesso ris</w:t>
      </w:r>
      <w:r w:rsidR="00F052CC">
        <w:rPr>
          <w:rFonts w:ascii="Arial" w:hAnsi="Arial" w:cs="Arial"/>
          <w:sz w:val="24"/>
          <w:szCs w:val="24"/>
        </w:rPr>
        <w:t>petto all’esercizio precedente.</w:t>
      </w:r>
    </w:p>
    <w:p w:rsidR="00211123" w:rsidRPr="00211123" w:rsidRDefault="00F052CC"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 </w:t>
      </w:r>
    </w:p>
    <w:p w:rsidR="00211123" w:rsidRPr="00211123" w:rsidRDefault="00211123" w:rsidP="00211123">
      <w:pPr>
        <w:numPr>
          <w:ilvl w:val="0"/>
          <w:numId w:val="6"/>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Rimanenze</w:t>
      </w:r>
    </w:p>
    <w:tbl>
      <w:tblPr>
        <w:tblW w:w="0" w:type="auto"/>
        <w:tblLayout w:type="fixed"/>
        <w:tblCellMar>
          <w:top w:w="28" w:type="dxa"/>
          <w:left w:w="28" w:type="dxa"/>
          <w:bottom w:w="28" w:type="dxa"/>
          <w:right w:w="35" w:type="dxa"/>
        </w:tblCellMar>
        <w:tblLook w:val="0000"/>
      </w:tblPr>
      <w:tblGrid>
        <w:gridCol w:w="2833"/>
        <w:gridCol w:w="1710"/>
        <w:gridCol w:w="1695"/>
        <w:gridCol w:w="1680"/>
        <w:gridCol w:w="1697"/>
      </w:tblGrid>
      <w:tr w:rsidR="00211123" w:rsidRPr="00211123">
        <w:tc>
          <w:tcPr>
            <w:tcW w:w="2833" w:type="dxa"/>
            <w:tcBorders>
              <w:top w:val="nil"/>
              <w:left w:val="nil"/>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p>
        </w:tc>
        <w:tc>
          <w:tcPr>
            <w:tcW w:w="171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31/12/2015</w:t>
            </w:r>
          </w:p>
        </w:tc>
        <w:tc>
          <w:tcPr>
            <w:tcW w:w="1695"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Incrementi</w:t>
            </w:r>
          </w:p>
        </w:tc>
        <w:tc>
          <w:tcPr>
            <w:tcW w:w="168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Decrementi</w:t>
            </w:r>
          </w:p>
        </w:tc>
        <w:tc>
          <w:tcPr>
            <w:tcW w:w="1697" w:type="dxa"/>
            <w:tcBorders>
              <w:top w:val="single" w:sz="6" w:space="0" w:color="auto"/>
              <w:left w:val="single" w:sz="2" w:space="0" w:color="auto"/>
              <w:bottom w:val="single" w:sz="6" w:space="0" w:color="auto"/>
              <w:right w:val="single" w:sz="6" w:space="0" w:color="auto"/>
            </w:tcBorders>
            <w:shd w:val="clear" w:color="auto" w:fill="E6E6E6"/>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31/12/2016</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Rimanenze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34.602,00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Totale rimanenze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34.602,00</w:t>
            </w:r>
          </w:p>
        </w:tc>
      </w:tr>
    </w:tbl>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Le rimanenze sono principalmente riconducibili </w:t>
      </w:r>
      <w:r w:rsidR="00F052CC">
        <w:rPr>
          <w:rFonts w:ascii="Arial" w:hAnsi="Arial" w:cs="Arial"/>
          <w:sz w:val="24"/>
          <w:szCs w:val="24"/>
        </w:rPr>
        <w:t xml:space="preserve">quasi esclusivamente </w:t>
      </w:r>
      <w:r w:rsidRPr="00211123">
        <w:rPr>
          <w:rFonts w:ascii="Arial" w:hAnsi="Arial" w:cs="Arial"/>
          <w:sz w:val="24"/>
          <w:szCs w:val="24"/>
        </w:rPr>
        <w:t>alle giacenze di magazzino presenti presso</w:t>
      </w:r>
      <w:r w:rsidR="00F052CC">
        <w:rPr>
          <w:rFonts w:ascii="Arial" w:hAnsi="Arial" w:cs="Arial"/>
          <w:sz w:val="24"/>
          <w:szCs w:val="24"/>
        </w:rPr>
        <w:t xml:space="preserve"> </w:t>
      </w:r>
      <w:r w:rsidRPr="00211123">
        <w:rPr>
          <w:rFonts w:ascii="Arial" w:hAnsi="Arial" w:cs="Arial"/>
          <w:sz w:val="24"/>
          <w:szCs w:val="24"/>
        </w:rPr>
        <w:t>la partecipata</w:t>
      </w:r>
      <w:r w:rsidR="00F052CC">
        <w:rPr>
          <w:rFonts w:ascii="Arial" w:hAnsi="Arial" w:cs="Arial"/>
          <w:sz w:val="24"/>
          <w:szCs w:val="24"/>
        </w:rPr>
        <w:t>.</w:t>
      </w:r>
    </w:p>
    <w:p w:rsidR="00F052CC" w:rsidRPr="00211123" w:rsidRDefault="00F052CC"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numPr>
          <w:ilvl w:val="0"/>
          <w:numId w:val="6"/>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Crediti</w:t>
      </w:r>
    </w:p>
    <w:tbl>
      <w:tblPr>
        <w:tblW w:w="0" w:type="auto"/>
        <w:tblLayout w:type="fixed"/>
        <w:tblCellMar>
          <w:top w:w="28" w:type="dxa"/>
          <w:left w:w="28" w:type="dxa"/>
          <w:bottom w:w="28" w:type="dxa"/>
          <w:right w:w="35" w:type="dxa"/>
        </w:tblCellMar>
        <w:tblLook w:val="0000"/>
      </w:tblPr>
      <w:tblGrid>
        <w:gridCol w:w="2833"/>
        <w:gridCol w:w="1710"/>
        <w:gridCol w:w="1695"/>
        <w:gridCol w:w="1680"/>
        <w:gridCol w:w="1697"/>
      </w:tblGrid>
      <w:tr w:rsidR="00211123" w:rsidRPr="00211123">
        <w:tc>
          <w:tcPr>
            <w:tcW w:w="2833" w:type="dxa"/>
            <w:tcBorders>
              <w:top w:val="nil"/>
              <w:left w:val="nil"/>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p>
        </w:tc>
        <w:tc>
          <w:tcPr>
            <w:tcW w:w="171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31/12/2015</w:t>
            </w:r>
          </w:p>
        </w:tc>
        <w:tc>
          <w:tcPr>
            <w:tcW w:w="1695"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Incrementi</w:t>
            </w:r>
          </w:p>
        </w:tc>
        <w:tc>
          <w:tcPr>
            <w:tcW w:w="168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Decrementi</w:t>
            </w:r>
          </w:p>
        </w:tc>
        <w:tc>
          <w:tcPr>
            <w:tcW w:w="1697" w:type="dxa"/>
            <w:tcBorders>
              <w:top w:val="single" w:sz="6" w:space="0" w:color="auto"/>
              <w:left w:val="single" w:sz="2" w:space="0" w:color="auto"/>
              <w:bottom w:val="single" w:sz="6" w:space="0" w:color="auto"/>
              <w:right w:val="single" w:sz="6" w:space="0" w:color="auto"/>
            </w:tcBorders>
            <w:shd w:val="clear" w:color="auto" w:fill="E6E6E6"/>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31/12/2016</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1  Crediti di natura tributaria</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1.083.395,32</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a Crediti da tributi destinati al finanziamento della sanità</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b Altri crediti da tributi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1.083.395,32</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c Crediti da Fondi perequativi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2  Crediti per trasferimenti e contributi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556.528,93</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a verso amministrazioni pubbliche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426.748,65</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b imprese controllate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c imprese partecipate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d verso altri soggetti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129.780,28</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3  verso clienti ed utenti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50.796,26</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4  Altri Crediti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832.579,96</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a verso l'erario</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b per attività svolta per c/terzi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2.818,81</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c altri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829.761,15</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Totale crediti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2.523.300,47</w:t>
            </w:r>
          </w:p>
        </w:tc>
      </w:tr>
    </w:tbl>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I crediti verso clienti ed utenti sono riferibili alle ordinarie attività di vendita e cessione effettuate in corso d’anno.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Si evidenzia inoltre che</w:t>
      </w:r>
      <w:r w:rsidR="00183808">
        <w:rPr>
          <w:rFonts w:ascii="Arial" w:hAnsi="Arial" w:cs="Arial"/>
          <w:sz w:val="24"/>
          <w:szCs w:val="24"/>
        </w:rPr>
        <w:t xml:space="preserve"> esistono</w:t>
      </w:r>
      <w:r w:rsidRPr="00211123">
        <w:rPr>
          <w:rFonts w:ascii="Arial" w:hAnsi="Arial" w:cs="Arial"/>
          <w:sz w:val="24"/>
          <w:szCs w:val="24"/>
        </w:rPr>
        <w:t xml:space="preserve"> crediti di durata superiore ai 5 anni</w:t>
      </w:r>
      <w:r w:rsidR="00183808">
        <w:rPr>
          <w:rFonts w:ascii="Arial" w:hAnsi="Arial" w:cs="Arial"/>
          <w:sz w:val="24"/>
          <w:szCs w:val="24"/>
        </w:rPr>
        <w:t xml:space="preserve"> solo relativamente alla gestione del Comune di Anacapri (tributi)</w:t>
      </w:r>
      <w:r w:rsidRPr="00211123">
        <w:rPr>
          <w:rFonts w:ascii="Arial" w:hAnsi="Arial" w:cs="Arial"/>
          <w:sz w:val="24"/>
          <w:szCs w:val="24"/>
        </w:rPr>
        <w:t xml:space="preserve">. </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numPr>
          <w:ilvl w:val="0"/>
          <w:numId w:val="6"/>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Attività finanziarie che non costituiscono immobilizzi</w:t>
      </w:r>
    </w:p>
    <w:tbl>
      <w:tblPr>
        <w:tblW w:w="0" w:type="auto"/>
        <w:tblLayout w:type="fixed"/>
        <w:tblCellMar>
          <w:top w:w="28" w:type="dxa"/>
          <w:left w:w="28" w:type="dxa"/>
          <w:bottom w:w="28" w:type="dxa"/>
          <w:right w:w="35" w:type="dxa"/>
        </w:tblCellMar>
        <w:tblLook w:val="0000"/>
      </w:tblPr>
      <w:tblGrid>
        <w:gridCol w:w="2833"/>
        <w:gridCol w:w="1710"/>
        <w:gridCol w:w="1695"/>
        <w:gridCol w:w="1680"/>
        <w:gridCol w:w="1697"/>
      </w:tblGrid>
      <w:tr w:rsidR="00211123" w:rsidRPr="00211123">
        <w:tc>
          <w:tcPr>
            <w:tcW w:w="2833" w:type="dxa"/>
            <w:tcBorders>
              <w:top w:val="nil"/>
              <w:left w:val="nil"/>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p>
        </w:tc>
        <w:tc>
          <w:tcPr>
            <w:tcW w:w="171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31/12/2015</w:t>
            </w:r>
          </w:p>
        </w:tc>
        <w:tc>
          <w:tcPr>
            <w:tcW w:w="1695"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Incrementi</w:t>
            </w:r>
          </w:p>
        </w:tc>
        <w:tc>
          <w:tcPr>
            <w:tcW w:w="168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Decrementi</w:t>
            </w:r>
          </w:p>
        </w:tc>
        <w:tc>
          <w:tcPr>
            <w:tcW w:w="1697" w:type="dxa"/>
            <w:tcBorders>
              <w:top w:val="single" w:sz="6" w:space="0" w:color="auto"/>
              <w:left w:val="single" w:sz="2" w:space="0" w:color="auto"/>
              <w:bottom w:val="single" w:sz="6" w:space="0" w:color="auto"/>
              <w:right w:val="single" w:sz="6" w:space="0" w:color="auto"/>
            </w:tcBorders>
            <w:shd w:val="clear" w:color="auto" w:fill="E6E6E6"/>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31/12/2016</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1  Partecipazioni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2  Altri titoli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Totale attività finanziarie che non costituiscono immobilizzi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bl>
    <w:p w:rsidR="00211123" w:rsidRPr="00211123" w:rsidRDefault="00211123" w:rsidP="00211123">
      <w:pPr>
        <w:widowControl w:val="0"/>
        <w:autoSpaceDE w:val="0"/>
        <w:autoSpaceDN w:val="0"/>
        <w:adjustRightInd w:val="0"/>
        <w:spacing w:after="0" w:line="240" w:lineRule="auto"/>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numPr>
          <w:ilvl w:val="0"/>
          <w:numId w:val="6"/>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Disponibilità liquide</w:t>
      </w:r>
    </w:p>
    <w:tbl>
      <w:tblPr>
        <w:tblW w:w="0" w:type="auto"/>
        <w:tblLayout w:type="fixed"/>
        <w:tblCellMar>
          <w:top w:w="28" w:type="dxa"/>
          <w:left w:w="28" w:type="dxa"/>
          <w:bottom w:w="28" w:type="dxa"/>
          <w:right w:w="35" w:type="dxa"/>
        </w:tblCellMar>
        <w:tblLook w:val="0000"/>
      </w:tblPr>
      <w:tblGrid>
        <w:gridCol w:w="2833"/>
        <w:gridCol w:w="1710"/>
        <w:gridCol w:w="1695"/>
        <w:gridCol w:w="1680"/>
        <w:gridCol w:w="1697"/>
      </w:tblGrid>
      <w:tr w:rsidR="00211123" w:rsidRPr="00211123">
        <w:tc>
          <w:tcPr>
            <w:tcW w:w="2833" w:type="dxa"/>
            <w:tcBorders>
              <w:top w:val="nil"/>
              <w:left w:val="nil"/>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p>
        </w:tc>
        <w:tc>
          <w:tcPr>
            <w:tcW w:w="171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31/12/2015</w:t>
            </w:r>
          </w:p>
        </w:tc>
        <w:tc>
          <w:tcPr>
            <w:tcW w:w="1695"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Incrementi</w:t>
            </w:r>
          </w:p>
        </w:tc>
        <w:tc>
          <w:tcPr>
            <w:tcW w:w="168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Decrementi</w:t>
            </w:r>
          </w:p>
        </w:tc>
        <w:tc>
          <w:tcPr>
            <w:tcW w:w="1697" w:type="dxa"/>
            <w:tcBorders>
              <w:top w:val="single" w:sz="6" w:space="0" w:color="auto"/>
              <w:left w:val="single" w:sz="2" w:space="0" w:color="auto"/>
              <w:bottom w:val="single" w:sz="6" w:space="0" w:color="auto"/>
              <w:right w:val="single" w:sz="6" w:space="0" w:color="auto"/>
            </w:tcBorders>
            <w:shd w:val="clear" w:color="auto" w:fill="E6E6E6"/>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31/12/2016</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1  Conto di tesoreria</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4.706.488,69</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a Istituto tesoriere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b presso Banca d'Italia</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4.706.488,69</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2  Altri depositi bancari e postali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337.830,79</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3  Denaro e valori in cassa</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4  Altri conti presso la tesoreria statale intestati all'ente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Totale disponibilità liquide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5.044.319,48</w:t>
            </w:r>
          </w:p>
        </w:tc>
      </w:tr>
    </w:tbl>
    <w:p w:rsidR="00211123" w:rsidRPr="00211123" w:rsidRDefault="00211123" w:rsidP="00211123">
      <w:pPr>
        <w:widowControl w:val="0"/>
        <w:autoSpaceDE w:val="0"/>
        <w:autoSpaceDN w:val="0"/>
        <w:adjustRightInd w:val="0"/>
        <w:spacing w:after="0" w:line="240" w:lineRule="auto"/>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Il saldo rappresenta le disponibilità liquide e l'esistenza di numerario e di valori alla data di chiusura dell'esercizio.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numPr>
          <w:ilvl w:val="0"/>
          <w:numId w:val="6"/>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Ratei e risconti attivi</w:t>
      </w:r>
    </w:p>
    <w:tbl>
      <w:tblPr>
        <w:tblW w:w="0" w:type="auto"/>
        <w:tblLayout w:type="fixed"/>
        <w:tblCellMar>
          <w:top w:w="28" w:type="dxa"/>
          <w:left w:w="28" w:type="dxa"/>
          <w:bottom w:w="28" w:type="dxa"/>
          <w:right w:w="35" w:type="dxa"/>
        </w:tblCellMar>
        <w:tblLook w:val="0000"/>
      </w:tblPr>
      <w:tblGrid>
        <w:gridCol w:w="2833"/>
        <w:gridCol w:w="1710"/>
        <w:gridCol w:w="1695"/>
        <w:gridCol w:w="1680"/>
        <w:gridCol w:w="1697"/>
      </w:tblGrid>
      <w:tr w:rsidR="00211123" w:rsidRPr="00211123">
        <w:tc>
          <w:tcPr>
            <w:tcW w:w="2833" w:type="dxa"/>
            <w:tcBorders>
              <w:top w:val="nil"/>
              <w:left w:val="nil"/>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p>
        </w:tc>
        <w:tc>
          <w:tcPr>
            <w:tcW w:w="171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31/12/2015</w:t>
            </w:r>
          </w:p>
        </w:tc>
        <w:tc>
          <w:tcPr>
            <w:tcW w:w="1695"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Incrementi</w:t>
            </w:r>
          </w:p>
        </w:tc>
        <w:tc>
          <w:tcPr>
            <w:tcW w:w="168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Decrementi</w:t>
            </w:r>
          </w:p>
        </w:tc>
        <w:tc>
          <w:tcPr>
            <w:tcW w:w="1697" w:type="dxa"/>
            <w:tcBorders>
              <w:top w:val="single" w:sz="6" w:space="0" w:color="auto"/>
              <w:left w:val="single" w:sz="2" w:space="0" w:color="auto"/>
              <w:bottom w:val="single" w:sz="6" w:space="0" w:color="auto"/>
              <w:right w:val="single" w:sz="6" w:space="0" w:color="auto"/>
            </w:tcBorders>
            <w:shd w:val="clear" w:color="auto" w:fill="E6E6E6"/>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31/12/2016</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1  Ratei attivi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2  Risconti attivi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41.844,00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TOTALE RATEI E RISCONTI  (D)</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41.844,00</w:t>
            </w:r>
          </w:p>
        </w:tc>
      </w:tr>
    </w:tbl>
    <w:p w:rsidR="00211123" w:rsidRPr="00211123" w:rsidRDefault="00211123" w:rsidP="00211123">
      <w:pPr>
        <w:widowControl w:val="0"/>
        <w:autoSpaceDE w:val="0"/>
        <w:autoSpaceDN w:val="0"/>
        <w:adjustRightInd w:val="0"/>
        <w:spacing w:after="0" w:line="240" w:lineRule="auto"/>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color w:val="FF0000"/>
          <w:sz w:val="24"/>
          <w:szCs w:val="24"/>
        </w:rPr>
      </w:pPr>
      <w:r w:rsidRPr="00211123">
        <w:rPr>
          <w:rFonts w:ascii="Arial" w:hAnsi="Arial" w:cs="Arial"/>
          <w:sz w:val="24"/>
          <w:szCs w:val="24"/>
        </w:rPr>
        <w:t xml:space="preserve">I risconti attivi si i riferiscono in particolare: </w:t>
      </w:r>
    </w:p>
    <w:p w:rsidR="00211123" w:rsidRPr="00183808" w:rsidRDefault="00183808"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Pr>
          <w:rFonts w:ascii="Arial" w:hAnsi="Arial" w:cs="Arial"/>
          <w:color w:val="FF0000"/>
          <w:sz w:val="24"/>
          <w:szCs w:val="24"/>
        </w:rPr>
        <w:t xml:space="preserve">- </w:t>
      </w:r>
      <w:r w:rsidRPr="00183808">
        <w:rPr>
          <w:rFonts w:ascii="Arial" w:hAnsi="Arial" w:cs="Arial"/>
          <w:sz w:val="24"/>
          <w:szCs w:val="24"/>
        </w:rPr>
        <w:t>assicurazioni</w:t>
      </w:r>
    </w:p>
    <w:p w:rsidR="00211123" w:rsidRPr="00183808"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183808">
        <w:rPr>
          <w:rFonts w:ascii="Arial" w:hAnsi="Arial" w:cs="Arial"/>
          <w:sz w:val="24"/>
          <w:szCs w:val="24"/>
        </w:rPr>
        <w:t xml:space="preserve">- canoni di </w:t>
      </w:r>
      <w:r w:rsidR="00183808" w:rsidRPr="00183808">
        <w:rPr>
          <w:rFonts w:ascii="Arial" w:hAnsi="Arial" w:cs="Arial"/>
          <w:sz w:val="24"/>
          <w:szCs w:val="24"/>
        </w:rPr>
        <w:t>leasing e noleggio</w:t>
      </w:r>
    </w:p>
    <w:p w:rsidR="00211123" w:rsidRPr="00211123" w:rsidRDefault="00211123" w:rsidP="001838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color w:val="FF0000"/>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4406AD">
        <w:rPr>
          <w:rFonts w:ascii="Arial" w:hAnsi="Arial" w:cs="Arial"/>
          <w:sz w:val="24"/>
          <w:szCs w:val="24"/>
        </w:rPr>
        <w:t>Non sussistono</w:t>
      </w:r>
      <w:r w:rsidRPr="00211123">
        <w:rPr>
          <w:rFonts w:ascii="Arial" w:hAnsi="Arial" w:cs="Arial"/>
          <w:sz w:val="24"/>
          <w:szCs w:val="24"/>
        </w:rPr>
        <w:t>, al 31/12/201</w:t>
      </w:r>
      <w:r w:rsidR="005B3D0E">
        <w:rPr>
          <w:rFonts w:ascii="Arial" w:hAnsi="Arial" w:cs="Arial"/>
          <w:sz w:val="24"/>
          <w:szCs w:val="24"/>
        </w:rPr>
        <w:t>6</w:t>
      </w:r>
      <w:r w:rsidRPr="00211123">
        <w:rPr>
          <w:rFonts w:ascii="Arial" w:hAnsi="Arial" w:cs="Arial"/>
          <w:sz w:val="24"/>
          <w:szCs w:val="24"/>
        </w:rPr>
        <w:t>, ratei e risconti aventi durata superiore a cinque anni.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numPr>
          <w:ilvl w:val="0"/>
          <w:numId w:val="6"/>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Patrimonio netto</w:t>
      </w:r>
    </w:p>
    <w:tbl>
      <w:tblPr>
        <w:tblW w:w="0" w:type="auto"/>
        <w:tblLayout w:type="fixed"/>
        <w:tblCellMar>
          <w:top w:w="28" w:type="dxa"/>
          <w:left w:w="28" w:type="dxa"/>
          <w:bottom w:w="28" w:type="dxa"/>
          <w:right w:w="35" w:type="dxa"/>
        </w:tblCellMar>
        <w:tblLook w:val="0000"/>
      </w:tblPr>
      <w:tblGrid>
        <w:gridCol w:w="2833"/>
        <w:gridCol w:w="1710"/>
        <w:gridCol w:w="1695"/>
        <w:gridCol w:w="1680"/>
        <w:gridCol w:w="1697"/>
      </w:tblGrid>
      <w:tr w:rsidR="00211123" w:rsidRPr="00211123">
        <w:tc>
          <w:tcPr>
            <w:tcW w:w="2833" w:type="dxa"/>
            <w:tcBorders>
              <w:top w:val="nil"/>
              <w:left w:val="nil"/>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p>
        </w:tc>
        <w:tc>
          <w:tcPr>
            <w:tcW w:w="171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31/12/2015</w:t>
            </w:r>
          </w:p>
        </w:tc>
        <w:tc>
          <w:tcPr>
            <w:tcW w:w="1695"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Incrementi</w:t>
            </w:r>
          </w:p>
        </w:tc>
        <w:tc>
          <w:tcPr>
            <w:tcW w:w="168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Decrementi</w:t>
            </w:r>
          </w:p>
        </w:tc>
        <w:tc>
          <w:tcPr>
            <w:tcW w:w="1697" w:type="dxa"/>
            <w:tcBorders>
              <w:top w:val="single" w:sz="6" w:space="0" w:color="auto"/>
              <w:left w:val="single" w:sz="2" w:space="0" w:color="auto"/>
              <w:bottom w:val="single" w:sz="6" w:space="0" w:color="auto"/>
              <w:right w:val="single" w:sz="6" w:space="0" w:color="auto"/>
            </w:tcBorders>
            <w:shd w:val="clear" w:color="auto" w:fill="E6E6E6"/>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31/12/2016</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Fondo di dotazione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2.754.010,07</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Riserve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20.493.505,48</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a  da risultato economico di esercizi precedenti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3.351,00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b  da capitale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17.116.034,09</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c  da permessi di costruire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3.374.120,39</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Risultato economico dell'ente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-197.342,67</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Utile (Perdita) d'esercizio delle Partecipate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37.138,00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Perdita delle Partecipate ripianata nell'esercizio</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Risultato economico dell'esercizio</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-160.204,67</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Fondo di dotazione e riserve di pertinenza di terzi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Risultato economico dell'esercizio di pertinenza di terzi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Patrimonio netto di pertinenza di terzi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bl>
    <w:p w:rsidR="00211123" w:rsidRPr="00211123" w:rsidRDefault="00211123" w:rsidP="00211123">
      <w:pPr>
        <w:widowControl w:val="0"/>
        <w:autoSpaceDE w:val="0"/>
        <w:autoSpaceDN w:val="0"/>
        <w:adjustRightInd w:val="0"/>
        <w:spacing w:after="0" w:line="240" w:lineRule="auto"/>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lastRenderedPageBreak/>
        <w:t xml:space="preserve">Il valore </w:t>
      </w:r>
      <w:r w:rsidRPr="004406AD">
        <w:rPr>
          <w:rFonts w:ascii="Arial" w:hAnsi="Arial" w:cs="Arial"/>
          <w:sz w:val="24"/>
          <w:szCs w:val="24"/>
        </w:rPr>
        <w:t>include</w:t>
      </w:r>
      <w:r w:rsidRPr="00211123">
        <w:rPr>
          <w:rFonts w:ascii="Arial" w:hAnsi="Arial" w:cs="Arial"/>
          <w:sz w:val="24"/>
          <w:szCs w:val="24"/>
        </w:rPr>
        <w:t xml:space="preserve"> le rettifiche di consolidamento rilevate per allineare il costo storico dei cespiti al valore al netto dei margini infragruppo.</w:t>
      </w:r>
    </w:p>
    <w:p w:rsidR="00211123" w:rsidRPr="00211123" w:rsidRDefault="00211123" w:rsidP="00211123">
      <w:pPr>
        <w:widowControl w:val="0"/>
        <w:autoSpaceDE w:val="0"/>
        <w:autoSpaceDN w:val="0"/>
        <w:adjustRightInd w:val="0"/>
        <w:spacing w:after="0" w:line="240" w:lineRule="auto"/>
        <w:rPr>
          <w:rFonts w:ascii="Arial" w:hAnsi="Arial" w:cs="Arial"/>
          <w:sz w:val="24"/>
          <w:szCs w:val="24"/>
        </w:rPr>
      </w:pPr>
    </w:p>
    <w:p w:rsidR="00211123" w:rsidRPr="00211123" w:rsidRDefault="00211123" w:rsidP="00211123">
      <w:pPr>
        <w:widowControl w:val="0"/>
        <w:autoSpaceDE w:val="0"/>
        <w:autoSpaceDN w:val="0"/>
        <w:adjustRightInd w:val="0"/>
        <w:spacing w:after="0" w:line="240" w:lineRule="auto"/>
        <w:rPr>
          <w:rFonts w:ascii="Arial" w:hAnsi="Arial" w:cs="Arial"/>
          <w:sz w:val="24"/>
          <w:szCs w:val="24"/>
        </w:rPr>
      </w:pPr>
    </w:p>
    <w:p w:rsidR="00211123" w:rsidRPr="00211123" w:rsidRDefault="00211123" w:rsidP="00211123">
      <w:pPr>
        <w:numPr>
          <w:ilvl w:val="0"/>
          <w:numId w:val="6"/>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Fondi rischi ed oneri</w:t>
      </w:r>
    </w:p>
    <w:tbl>
      <w:tblPr>
        <w:tblW w:w="0" w:type="auto"/>
        <w:tblLayout w:type="fixed"/>
        <w:tblCellMar>
          <w:top w:w="28" w:type="dxa"/>
          <w:left w:w="28" w:type="dxa"/>
          <w:bottom w:w="28" w:type="dxa"/>
          <w:right w:w="35" w:type="dxa"/>
        </w:tblCellMar>
        <w:tblLook w:val="0000"/>
      </w:tblPr>
      <w:tblGrid>
        <w:gridCol w:w="2833"/>
        <w:gridCol w:w="1710"/>
        <w:gridCol w:w="1695"/>
        <w:gridCol w:w="1680"/>
        <w:gridCol w:w="1697"/>
      </w:tblGrid>
      <w:tr w:rsidR="00211123" w:rsidRPr="00211123">
        <w:tc>
          <w:tcPr>
            <w:tcW w:w="2833" w:type="dxa"/>
            <w:tcBorders>
              <w:top w:val="nil"/>
              <w:left w:val="nil"/>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p>
        </w:tc>
        <w:tc>
          <w:tcPr>
            <w:tcW w:w="171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31/12/2015</w:t>
            </w:r>
          </w:p>
        </w:tc>
        <w:tc>
          <w:tcPr>
            <w:tcW w:w="1695"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Incrementi</w:t>
            </w:r>
          </w:p>
        </w:tc>
        <w:tc>
          <w:tcPr>
            <w:tcW w:w="168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Decrementi</w:t>
            </w:r>
          </w:p>
        </w:tc>
        <w:tc>
          <w:tcPr>
            <w:tcW w:w="1697" w:type="dxa"/>
            <w:tcBorders>
              <w:top w:val="single" w:sz="6" w:space="0" w:color="auto"/>
              <w:left w:val="single" w:sz="2" w:space="0" w:color="auto"/>
              <w:bottom w:val="single" w:sz="6" w:space="0" w:color="auto"/>
              <w:right w:val="single" w:sz="6" w:space="0" w:color="auto"/>
            </w:tcBorders>
            <w:shd w:val="clear" w:color="auto" w:fill="E6E6E6"/>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31/12/2016</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1  Per trattamento di quiescenza</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2  Per imposte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3  Altri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161.680,00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4  fondo di consolidamento per rischi e oneri futuri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TOTALE FONDI RISCHI ED ONERI (B)</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161.680,00</w:t>
            </w:r>
          </w:p>
        </w:tc>
      </w:tr>
    </w:tbl>
    <w:p w:rsidR="00211123" w:rsidRPr="00211123" w:rsidRDefault="00211123" w:rsidP="00211123">
      <w:pPr>
        <w:widowControl w:val="0"/>
        <w:autoSpaceDE w:val="0"/>
        <w:autoSpaceDN w:val="0"/>
        <w:adjustRightInd w:val="0"/>
        <w:spacing w:after="0" w:line="240" w:lineRule="auto"/>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Gli incrementi sono relativi ad accantonamenti dell'esercizio. I decrementi sono relativi a utilizzi dell'esercizio.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Nel fondo per imposte sono iscritte passività per imposte differite relative a differenze temporanee tassabili e derivanti da effetti di consolidamento.</w:t>
      </w:r>
    </w:p>
    <w:p w:rsidR="00211123" w:rsidRPr="00E87E72"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Nella voce “Altri” </w:t>
      </w:r>
      <w:r w:rsidR="00E87E72">
        <w:rPr>
          <w:rFonts w:ascii="Arial" w:hAnsi="Arial" w:cs="Arial"/>
          <w:sz w:val="24"/>
          <w:szCs w:val="24"/>
        </w:rPr>
        <w:t>la Anacapri Servizi s.r.l. ha</w:t>
      </w:r>
      <w:r w:rsidRPr="00211123">
        <w:rPr>
          <w:rFonts w:ascii="Arial" w:hAnsi="Arial" w:cs="Arial"/>
          <w:sz w:val="24"/>
          <w:szCs w:val="24"/>
        </w:rPr>
        <w:t xml:space="preserve"> iscritto </w:t>
      </w:r>
      <w:r w:rsidR="004406AD" w:rsidRPr="00E87E72">
        <w:rPr>
          <w:rFonts w:ascii="Arial" w:hAnsi="Arial" w:cs="Arial"/>
          <w:sz w:val="24"/>
          <w:szCs w:val="24"/>
        </w:rPr>
        <w:t xml:space="preserve">un fondo </w:t>
      </w:r>
      <w:r w:rsidR="00E87E72" w:rsidRPr="00E87E72">
        <w:rPr>
          <w:rFonts w:ascii="Arial" w:hAnsi="Arial" w:cs="Arial"/>
          <w:sz w:val="24"/>
          <w:szCs w:val="24"/>
        </w:rPr>
        <w:t xml:space="preserve">per somme rimborsate da terzi per debiti previdenziali iscritti a ruolo e per l’importo residuo delle rate dovute ad </w:t>
      </w:r>
      <w:proofErr w:type="spellStart"/>
      <w:r w:rsidR="00E87E72" w:rsidRPr="00E87E72">
        <w:rPr>
          <w:rFonts w:ascii="Arial" w:hAnsi="Arial" w:cs="Arial"/>
          <w:sz w:val="24"/>
          <w:szCs w:val="24"/>
        </w:rPr>
        <w:t>Equitalia</w:t>
      </w:r>
      <w:proofErr w:type="spellEnd"/>
      <w:r w:rsidR="00E87E72" w:rsidRPr="00E87E72">
        <w:rPr>
          <w:rFonts w:ascii="Arial" w:hAnsi="Arial" w:cs="Arial"/>
          <w:sz w:val="24"/>
          <w:szCs w:val="24"/>
        </w:rPr>
        <w:t xml:space="preserve"> per contributi e sanzioni</w:t>
      </w:r>
      <w:r w:rsidRPr="00E87E72">
        <w:rPr>
          <w:rFonts w:ascii="Arial" w:hAnsi="Arial" w:cs="Arial"/>
          <w:sz w:val="24"/>
          <w:szCs w:val="24"/>
        </w:rPr>
        <w:t xml:space="preserve">. </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numPr>
          <w:ilvl w:val="0"/>
          <w:numId w:val="6"/>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Trattamento di Fine Rapporto</w:t>
      </w:r>
    </w:p>
    <w:tbl>
      <w:tblPr>
        <w:tblW w:w="0" w:type="auto"/>
        <w:tblLayout w:type="fixed"/>
        <w:tblCellMar>
          <w:top w:w="28" w:type="dxa"/>
          <w:left w:w="28" w:type="dxa"/>
          <w:bottom w:w="28" w:type="dxa"/>
          <w:right w:w="35" w:type="dxa"/>
        </w:tblCellMar>
        <w:tblLook w:val="0000"/>
      </w:tblPr>
      <w:tblGrid>
        <w:gridCol w:w="2833"/>
        <w:gridCol w:w="1710"/>
        <w:gridCol w:w="1695"/>
        <w:gridCol w:w="1680"/>
        <w:gridCol w:w="1697"/>
      </w:tblGrid>
      <w:tr w:rsidR="00211123" w:rsidRPr="00211123">
        <w:tc>
          <w:tcPr>
            <w:tcW w:w="2833" w:type="dxa"/>
            <w:tcBorders>
              <w:top w:val="nil"/>
              <w:left w:val="nil"/>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p>
        </w:tc>
        <w:tc>
          <w:tcPr>
            <w:tcW w:w="171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31/12/2015</w:t>
            </w:r>
          </w:p>
        </w:tc>
        <w:tc>
          <w:tcPr>
            <w:tcW w:w="1695"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Incrementi</w:t>
            </w:r>
          </w:p>
        </w:tc>
        <w:tc>
          <w:tcPr>
            <w:tcW w:w="168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Decrementi</w:t>
            </w:r>
          </w:p>
        </w:tc>
        <w:tc>
          <w:tcPr>
            <w:tcW w:w="1697" w:type="dxa"/>
            <w:tcBorders>
              <w:top w:val="single" w:sz="6" w:space="0" w:color="auto"/>
              <w:left w:val="single" w:sz="2" w:space="0" w:color="auto"/>
              <w:bottom w:val="single" w:sz="6" w:space="0" w:color="auto"/>
              <w:right w:val="single" w:sz="6" w:space="0" w:color="auto"/>
            </w:tcBorders>
            <w:shd w:val="clear" w:color="auto" w:fill="E6E6E6"/>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31/12/2016</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C)TRATTAMENTO </w:t>
            </w:r>
            <w:proofErr w:type="spellStart"/>
            <w:r w:rsidRPr="00211123">
              <w:rPr>
                <w:rFonts w:ascii="Arial" w:hAnsi="Arial" w:cs="Arial"/>
                <w:sz w:val="16"/>
                <w:szCs w:val="16"/>
              </w:rPr>
              <w:t>DI</w:t>
            </w:r>
            <w:proofErr w:type="spellEnd"/>
            <w:r w:rsidRPr="00211123">
              <w:rPr>
                <w:rFonts w:ascii="Arial" w:hAnsi="Arial" w:cs="Arial"/>
                <w:sz w:val="16"/>
                <w:szCs w:val="16"/>
              </w:rPr>
              <w:t xml:space="preserve"> FINE RAPPORTO</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403.023,00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TOTALE </w:t>
            </w:r>
            <w:proofErr w:type="spellStart"/>
            <w:r w:rsidRPr="00211123">
              <w:rPr>
                <w:rFonts w:ascii="Arial" w:hAnsi="Arial" w:cs="Arial"/>
                <w:sz w:val="16"/>
                <w:szCs w:val="16"/>
              </w:rPr>
              <w:t>T.F.R.</w:t>
            </w:r>
            <w:proofErr w:type="spellEnd"/>
            <w:r w:rsidRPr="00211123">
              <w:rPr>
                <w:rFonts w:ascii="Arial" w:hAnsi="Arial" w:cs="Arial"/>
                <w:sz w:val="16"/>
                <w:szCs w:val="16"/>
              </w:rPr>
              <w:t xml:space="preserve"> (C)</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403.023,00</w:t>
            </w:r>
          </w:p>
        </w:tc>
      </w:tr>
    </w:tbl>
    <w:p w:rsidR="00211123" w:rsidRPr="00211123" w:rsidRDefault="00211123" w:rsidP="00211123">
      <w:pPr>
        <w:widowControl w:val="0"/>
        <w:autoSpaceDE w:val="0"/>
        <w:autoSpaceDN w:val="0"/>
        <w:adjustRightInd w:val="0"/>
        <w:spacing w:after="0" w:line="240" w:lineRule="auto"/>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Il fondo accantonato rappresenta l'effettivo debito delle società del Gruppo al 31/12/2016 verso i dipendenti in forza a tale data, al netto degli anticipi corrisposti.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Il fondo accantonato rappresenta l'effettivo debito maturato verso i dipendenti in conformità di legge e dei contratti di lavoro vigenti, considerando ogni forma di remunerazione avente carattere continuativo.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numPr>
          <w:ilvl w:val="0"/>
          <w:numId w:val="6"/>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Debiti</w:t>
      </w:r>
    </w:p>
    <w:tbl>
      <w:tblPr>
        <w:tblW w:w="0" w:type="auto"/>
        <w:tblLayout w:type="fixed"/>
        <w:tblCellMar>
          <w:top w:w="28" w:type="dxa"/>
          <w:left w:w="28" w:type="dxa"/>
          <w:bottom w:w="28" w:type="dxa"/>
          <w:right w:w="35" w:type="dxa"/>
        </w:tblCellMar>
        <w:tblLook w:val="0000"/>
      </w:tblPr>
      <w:tblGrid>
        <w:gridCol w:w="2833"/>
        <w:gridCol w:w="1710"/>
        <w:gridCol w:w="1695"/>
        <w:gridCol w:w="1680"/>
        <w:gridCol w:w="1697"/>
      </w:tblGrid>
      <w:tr w:rsidR="00211123" w:rsidRPr="00211123">
        <w:tc>
          <w:tcPr>
            <w:tcW w:w="2833" w:type="dxa"/>
            <w:tcBorders>
              <w:top w:val="nil"/>
              <w:left w:val="nil"/>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p>
        </w:tc>
        <w:tc>
          <w:tcPr>
            <w:tcW w:w="171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31/12/2015</w:t>
            </w:r>
          </w:p>
        </w:tc>
        <w:tc>
          <w:tcPr>
            <w:tcW w:w="1695"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Incrementi</w:t>
            </w:r>
          </w:p>
        </w:tc>
        <w:tc>
          <w:tcPr>
            <w:tcW w:w="168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Decrementi</w:t>
            </w:r>
          </w:p>
        </w:tc>
        <w:tc>
          <w:tcPr>
            <w:tcW w:w="1697" w:type="dxa"/>
            <w:tcBorders>
              <w:top w:val="single" w:sz="6" w:space="0" w:color="auto"/>
              <w:left w:val="single" w:sz="2" w:space="0" w:color="auto"/>
              <w:bottom w:val="single" w:sz="6" w:space="0" w:color="auto"/>
              <w:right w:val="single" w:sz="6" w:space="0" w:color="auto"/>
            </w:tcBorders>
            <w:shd w:val="clear" w:color="auto" w:fill="E6E6E6"/>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31/12/2016</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1  Debiti da finanziamento</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6.181.940,57</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a prestiti obbligazionari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b verso altre amministrazioni pubbliche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c verso banche e tesoriere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d verso altri finanziatori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6.181.940,57</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lastRenderedPageBreak/>
              <w:t>2  Debiti verso fornitori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1.197.298,94</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3  Acconti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4  Debiti per trasferimenti e contributi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1.078.333,83</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a enti finanziati dal servizio sanitario nazionale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b altre amministrazioni pubbliche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1.047.761,66</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c imprese controllate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d imprese partecipate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e altri soggetti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30.572,17</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5  Altri debiti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519.012,15</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a tributari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88.170,97</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b verso istituti di previdenza e sicurezza sociale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75.226,23</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c per attività svolta per c/terzi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318.577,98</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d altri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37.036,97</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TOTALE DEBITI (D)</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8.976.585,49</w:t>
            </w:r>
          </w:p>
        </w:tc>
      </w:tr>
    </w:tbl>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La voce “Debiti verso altri finanziatori” è relativa a</w:t>
      </w:r>
      <w:r w:rsidR="000B1F93">
        <w:rPr>
          <w:rFonts w:ascii="Arial" w:hAnsi="Arial" w:cs="Arial"/>
          <w:sz w:val="24"/>
          <w:szCs w:val="24"/>
        </w:rPr>
        <w:t>i mutui passivi contratti dal Comune di Anacapri.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I "Debiti verso fornitori" sono iscritti al netto degli sconti commerciali</w:t>
      </w:r>
      <w:r w:rsidR="000B1F93">
        <w:rPr>
          <w:rFonts w:ascii="Arial" w:hAnsi="Arial" w:cs="Arial"/>
          <w:sz w:val="24"/>
          <w:szCs w:val="24"/>
        </w:rPr>
        <w:t>.</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Tra i debiti per trasferimenti e contri</w:t>
      </w:r>
      <w:r w:rsidR="000B1F93">
        <w:rPr>
          <w:rFonts w:ascii="Arial" w:hAnsi="Arial" w:cs="Arial"/>
          <w:sz w:val="24"/>
          <w:szCs w:val="24"/>
        </w:rPr>
        <w:t>buti si segnalano: il debito per il Fondo di solidarietà comunale.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I debiti tributari al 31/12/201</w:t>
      </w:r>
      <w:r w:rsidR="000B1F93">
        <w:rPr>
          <w:rFonts w:ascii="Arial" w:hAnsi="Arial" w:cs="Arial"/>
          <w:sz w:val="24"/>
          <w:szCs w:val="24"/>
        </w:rPr>
        <w:t>6 si riferiscono esclusivamente al Comune di Anacapri.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6B15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color w:val="FF0000"/>
          <w:sz w:val="24"/>
          <w:szCs w:val="24"/>
        </w:rPr>
      </w:pPr>
      <w:r w:rsidRPr="00211123">
        <w:rPr>
          <w:rFonts w:ascii="Arial" w:hAnsi="Arial" w:cs="Arial"/>
          <w:sz w:val="24"/>
          <w:szCs w:val="24"/>
        </w:rPr>
        <w:t>I debiti verso istituti previden</w:t>
      </w:r>
      <w:r w:rsidR="006B15C4">
        <w:rPr>
          <w:rFonts w:ascii="Arial" w:hAnsi="Arial" w:cs="Arial"/>
          <w:sz w:val="24"/>
          <w:szCs w:val="24"/>
        </w:rPr>
        <w:t>za si riferiscono esclusivamente al Comune di Anacapri.</w:t>
      </w:r>
      <w:r w:rsidR="006B15C4" w:rsidRPr="00211123">
        <w:rPr>
          <w:rFonts w:ascii="Arial" w:hAnsi="Arial" w:cs="Arial"/>
          <w:sz w:val="24"/>
          <w:szCs w:val="24"/>
        </w:rPr>
        <w:t xml:space="preserve"> </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numPr>
          <w:ilvl w:val="0"/>
          <w:numId w:val="6"/>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Ratei e risconti passivi</w:t>
      </w:r>
    </w:p>
    <w:tbl>
      <w:tblPr>
        <w:tblW w:w="0" w:type="auto"/>
        <w:tblLayout w:type="fixed"/>
        <w:tblCellMar>
          <w:top w:w="28" w:type="dxa"/>
          <w:left w:w="28" w:type="dxa"/>
          <w:bottom w:w="28" w:type="dxa"/>
          <w:right w:w="43" w:type="dxa"/>
        </w:tblCellMar>
        <w:tblLook w:val="0000"/>
      </w:tblPr>
      <w:tblGrid>
        <w:gridCol w:w="2833"/>
        <w:gridCol w:w="1710"/>
        <w:gridCol w:w="1695"/>
        <w:gridCol w:w="1680"/>
        <w:gridCol w:w="1697"/>
      </w:tblGrid>
      <w:tr w:rsidR="00211123" w:rsidRPr="00211123">
        <w:tc>
          <w:tcPr>
            <w:tcW w:w="2833" w:type="dxa"/>
            <w:tcBorders>
              <w:top w:val="nil"/>
              <w:left w:val="nil"/>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E6E6E6"/>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31/12/2015</w:t>
            </w:r>
          </w:p>
        </w:tc>
        <w:tc>
          <w:tcPr>
            <w:tcW w:w="1695" w:type="dxa"/>
            <w:tcBorders>
              <w:top w:val="single" w:sz="6" w:space="0" w:color="auto"/>
              <w:left w:val="single" w:sz="6" w:space="0" w:color="auto"/>
              <w:bottom w:val="single" w:sz="6" w:space="0" w:color="auto"/>
              <w:right w:val="single" w:sz="6" w:space="0" w:color="auto"/>
            </w:tcBorders>
            <w:shd w:val="clear" w:color="auto" w:fill="E6E6E6"/>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Incrementi</w:t>
            </w:r>
          </w:p>
        </w:tc>
        <w:tc>
          <w:tcPr>
            <w:tcW w:w="1680" w:type="dxa"/>
            <w:tcBorders>
              <w:top w:val="single" w:sz="6" w:space="0" w:color="auto"/>
              <w:left w:val="single" w:sz="6" w:space="0" w:color="auto"/>
              <w:bottom w:val="single" w:sz="6" w:space="0" w:color="auto"/>
              <w:right w:val="single" w:sz="6" w:space="0" w:color="auto"/>
            </w:tcBorders>
            <w:shd w:val="clear" w:color="auto" w:fill="E6E6E6"/>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Decrementi</w:t>
            </w:r>
          </w:p>
        </w:tc>
        <w:tc>
          <w:tcPr>
            <w:tcW w:w="1697" w:type="dxa"/>
            <w:tcBorders>
              <w:top w:val="single" w:sz="6" w:space="0" w:color="auto"/>
              <w:left w:val="single" w:sz="6" w:space="0" w:color="auto"/>
              <w:bottom w:val="single" w:sz="6" w:space="0" w:color="auto"/>
              <w:right w:val="single" w:sz="6" w:space="0" w:color="auto"/>
            </w:tcBorders>
            <w:shd w:val="clear" w:color="auto" w:fill="E6E6E6"/>
            <w:tcMar>
              <w:lef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31/12/2016</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Ratei passivi</w:t>
            </w:r>
          </w:p>
        </w:tc>
        <w:tc>
          <w:tcPr>
            <w:tcW w:w="1710"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39.022,00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Risconti passivi</w:t>
            </w:r>
          </w:p>
        </w:tc>
        <w:tc>
          <w:tcPr>
            <w:tcW w:w="1710"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18.849.644,54</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1  Contributi agli investimenti</w:t>
            </w:r>
          </w:p>
        </w:tc>
        <w:tc>
          <w:tcPr>
            <w:tcW w:w="1710"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18.849.644,54</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a da altre amministrazioni pubbliche</w:t>
            </w:r>
          </w:p>
        </w:tc>
        <w:tc>
          <w:tcPr>
            <w:tcW w:w="1710"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18.849.644,54</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b da altri soggetti</w:t>
            </w:r>
          </w:p>
        </w:tc>
        <w:tc>
          <w:tcPr>
            <w:tcW w:w="1710"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2  Concessioni pluriennali</w:t>
            </w:r>
          </w:p>
        </w:tc>
        <w:tc>
          <w:tcPr>
            <w:tcW w:w="1710"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3  Altri risconti passivi</w:t>
            </w:r>
          </w:p>
        </w:tc>
        <w:tc>
          <w:tcPr>
            <w:tcW w:w="1710"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TOTALE RATEI E RISCONTI (E)</w:t>
            </w:r>
          </w:p>
        </w:tc>
        <w:tc>
          <w:tcPr>
            <w:tcW w:w="1710"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6" w:space="0" w:color="auto"/>
              <w:bottom w:val="single" w:sz="6" w:space="0" w:color="auto"/>
              <w:right w:val="single" w:sz="6" w:space="0" w:color="auto"/>
            </w:tcBorders>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18.888.666,54</w:t>
            </w:r>
          </w:p>
        </w:tc>
      </w:tr>
    </w:tbl>
    <w:p w:rsidR="00211123" w:rsidRPr="00211123" w:rsidRDefault="00211123" w:rsidP="00211123">
      <w:pPr>
        <w:widowControl w:val="0"/>
        <w:autoSpaceDE w:val="0"/>
        <w:autoSpaceDN w:val="0"/>
        <w:adjustRightInd w:val="0"/>
        <w:spacing w:after="0" w:line="240" w:lineRule="auto"/>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Rappresentano le partite di collegamento dell'esercizio conteggiate col criterio della competenza temporale.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EA0692">
        <w:rPr>
          <w:rFonts w:ascii="Arial" w:hAnsi="Arial" w:cs="Arial"/>
          <w:sz w:val="24"/>
          <w:szCs w:val="24"/>
        </w:rPr>
        <w:t>Non sussistono</w:t>
      </w:r>
      <w:r w:rsidRPr="00211123">
        <w:rPr>
          <w:rFonts w:ascii="Arial" w:hAnsi="Arial" w:cs="Arial"/>
          <w:sz w:val="24"/>
          <w:szCs w:val="24"/>
        </w:rPr>
        <w:t>, al 31/12/2016, ratei e risconti aventi durata superiore a cinque anni.</w:t>
      </w:r>
    </w:p>
    <w:p w:rsid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AB615A" w:rsidRDefault="00AB615A"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AB615A" w:rsidRDefault="00AB615A"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AB615A" w:rsidRPr="00211123" w:rsidRDefault="00AB615A"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sz w:val="24"/>
          <w:szCs w:val="24"/>
        </w:rPr>
      </w:pPr>
      <w:r w:rsidRPr="00211123">
        <w:rPr>
          <w:rFonts w:ascii="Arial" w:hAnsi="Arial" w:cs="Arial"/>
          <w:b/>
          <w:bCs/>
          <w:sz w:val="24"/>
          <w:szCs w:val="24"/>
        </w:rPr>
        <w:lastRenderedPageBreak/>
        <w:t>3.2 Conto economico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numPr>
          <w:ilvl w:val="0"/>
          <w:numId w:val="6"/>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sz w:val="24"/>
          <w:szCs w:val="24"/>
          <w:u w:val="single"/>
        </w:rPr>
      </w:pPr>
      <w:r w:rsidRPr="00211123">
        <w:rPr>
          <w:rFonts w:ascii="Arial" w:hAnsi="Arial" w:cs="Arial"/>
          <w:sz w:val="24"/>
          <w:szCs w:val="24"/>
          <w:u w:val="single"/>
        </w:rPr>
        <w:t>Proventi ed oneri finanziari</w:t>
      </w:r>
    </w:p>
    <w:tbl>
      <w:tblPr>
        <w:tblW w:w="0" w:type="auto"/>
        <w:tblLayout w:type="fixed"/>
        <w:tblCellMar>
          <w:top w:w="28" w:type="dxa"/>
          <w:left w:w="28" w:type="dxa"/>
          <w:bottom w:w="28" w:type="dxa"/>
          <w:right w:w="35" w:type="dxa"/>
        </w:tblCellMar>
        <w:tblLook w:val="0000"/>
      </w:tblPr>
      <w:tblGrid>
        <w:gridCol w:w="2833"/>
        <w:gridCol w:w="1710"/>
        <w:gridCol w:w="1695"/>
        <w:gridCol w:w="1680"/>
        <w:gridCol w:w="1697"/>
      </w:tblGrid>
      <w:tr w:rsidR="00211123" w:rsidRPr="00211123">
        <w:tc>
          <w:tcPr>
            <w:tcW w:w="2833" w:type="dxa"/>
            <w:tcBorders>
              <w:top w:val="nil"/>
              <w:left w:val="nil"/>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b/>
                <w:bCs/>
                <w:sz w:val="16"/>
                <w:szCs w:val="16"/>
              </w:rPr>
            </w:pPr>
          </w:p>
        </w:tc>
        <w:tc>
          <w:tcPr>
            <w:tcW w:w="171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31/12/2015</w:t>
            </w:r>
          </w:p>
        </w:tc>
        <w:tc>
          <w:tcPr>
            <w:tcW w:w="1695"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Incrementi</w:t>
            </w:r>
          </w:p>
        </w:tc>
        <w:tc>
          <w:tcPr>
            <w:tcW w:w="1680" w:type="dxa"/>
            <w:tcBorders>
              <w:top w:val="single" w:sz="6" w:space="0" w:color="auto"/>
              <w:left w:val="single" w:sz="2" w:space="0" w:color="auto"/>
              <w:bottom w:val="single" w:sz="6" w:space="0" w:color="auto"/>
              <w:right w:val="single" w:sz="2" w:space="0" w:color="auto"/>
            </w:tcBorders>
            <w:shd w:val="clear" w:color="auto" w:fill="E6E6E6"/>
            <w:tcMar>
              <w:left w:w="35"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Decrementi</w:t>
            </w:r>
          </w:p>
        </w:tc>
        <w:tc>
          <w:tcPr>
            <w:tcW w:w="1697" w:type="dxa"/>
            <w:tcBorders>
              <w:top w:val="single" w:sz="6" w:space="0" w:color="auto"/>
              <w:left w:val="single" w:sz="2" w:space="0" w:color="auto"/>
              <w:bottom w:val="single" w:sz="6" w:space="0" w:color="auto"/>
              <w:right w:val="single" w:sz="6" w:space="0" w:color="auto"/>
            </w:tcBorders>
            <w:shd w:val="clear" w:color="auto" w:fill="E6E6E6"/>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center"/>
              <w:rPr>
                <w:rFonts w:ascii="Arial" w:hAnsi="Arial" w:cs="Arial"/>
                <w:b/>
                <w:bCs/>
                <w:sz w:val="16"/>
                <w:szCs w:val="16"/>
              </w:rPr>
            </w:pPr>
            <w:r w:rsidRPr="00211123">
              <w:rPr>
                <w:rFonts w:ascii="Arial" w:hAnsi="Arial" w:cs="Arial"/>
                <w:b/>
                <w:bCs/>
                <w:sz w:val="16"/>
                <w:szCs w:val="16"/>
              </w:rPr>
              <w:t>31/12/2016</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Proventi finanziari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a  da società controllate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b  da società partecipate</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c  da altri soggetti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Altri proventi finanziari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789,73</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Totale proventi finanziari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789,73</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Oneri finanziari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a  Interessi passivi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291.207,35</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b  Altri oneri finanziari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0,00</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Totale oneri finanziari</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291.207,35</w:t>
            </w:r>
          </w:p>
        </w:tc>
      </w:tr>
      <w:tr w:rsidR="00211123" w:rsidRPr="00211123">
        <w:tblPrEx>
          <w:tblCellMar>
            <w:left w:w="43" w:type="dxa"/>
          </w:tblCellMar>
        </w:tblPrEx>
        <w:tc>
          <w:tcPr>
            <w:tcW w:w="2833" w:type="dxa"/>
            <w:tcBorders>
              <w:top w:val="single" w:sz="6" w:space="0" w:color="auto"/>
              <w:left w:val="single" w:sz="6" w:space="0" w:color="auto"/>
              <w:bottom w:val="single" w:sz="6" w:space="0" w:color="auto"/>
              <w:right w:val="single" w:sz="2" w:space="0" w:color="auto"/>
            </w:tcBorders>
            <w:vAlign w:val="center"/>
          </w:tcPr>
          <w:p w:rsidR="00211123" w:rsidRPr="00211123" w:rsidRDefault="00211123" w:rsidP="00211123">
            <w:pPr>
              <w:widowControl w:val="0"/>
              <w:autoSpaceDE w:val="0"/>
              <w:autoSpaceDN w:val="0"/>
              <w:adjustRightInd w:val="0"/>
              <w:spacing w:after="0" w:line="240" w:lineRule="auto"/>
              <w:rPr>
                <w:rFonts w:ascii="Arial" w:hAnsi="Arial" w:cs="Arial"/>
                <w:sz w:val="16"/>
                <w:szCs w:val="16"/>
              </w:rPr>
            </w:pPr>
            <w:r w:rsidRPr="00211123">
              <w:rPr>
                <w:rFonts w:ascii="Arial" w:hAnsi="Arial" w:cs="Arial"/>
                <w:sz w:val="16"/>
                <w:szCs w:val="16"/>
              </w:rPr>
              <w:t xml:space="preserve">  TOTALE PROVENTI ED ONERI FINANZIARI (C)</w:t>
            </w:r>
          </w:p>
        </w:tc>
        <w:tc>
          <w:tcPr>
            <w:tcW w:w="171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5"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80" w:type="dxa"/>
            <w:tcBorders>
              <w:top w:val="single" w:sz="6" w:space="0" w:color="auto"/>
              <w:left w:val="single" w:sz="2" w:space="0" w:color="auto"/>
              <w:bottom w:val="single" w:sz="6" w:space="0" w:color="auto"/>
              <w:right w:val="single" w:sz="2" w:space="0" w:color="auto"/>
            </w:tcBorders>
            <w:tcMar>
              <w:left w:w="35"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p>
        </w:tc>
        <w:tc>
          <w:tcPr>
            <w:tcW w:w="1697" w:type="dxa"/>
            <w:tcBorders>
              <w:top w:val="single" w:sz="6" w:space="0" w:color="auto"/>
              <w:left w:val="single" w:sz="2" w:space="0" w:color="auto"/>
              <w:bottom w:val="single" w:sz="6" w:space="0" w:color="auto"/>
              <w:right w:val="single" w:sz="6" w:space="0" w:color="auto"/>
            </w:tcBorders>
            <w:tcMar>
              <w:left w:w="35" w:type="dxa"/>
              <w:right w:w="43" w:type="dxa"/>
            </w:tcMar>
            <w:vAlign w:val="center"/>
          </w:tcPr>
          <w:p w:rsidR="00211123" w:rsidRPr="00211123" w:rsidRDefault="00211123" w:rsidP="00211123">
            <w:pPr>
              <w:widowControl w:val="0"/>
              <w:autoSpaceDE w:val="0"/>
              <w:autoSpaceDN w:val="0"/>
              <w:adjustRightInd w:val="0"/>
              <w:spacing w:after="0" w:line="240" w:lineRule="auto"/>
              <w:jc w:val="right"/>
              <w:rPr>
                <w:rFonts w:ascii="Arial" w:hAnsi="Arial" w:cs="Arial"/>
                <w:sz w:val="16"/>
                <w:szCs w:val="16"/>
              </w:rPr>
            </w:pPr>
            <w:r w:rsidRPr="00211123">
              <w:rPr>
                <w:rFonts w:ascii="Arial" w:hAnsi="Arial" w:cs="Arial"/>
                <w:sz w:val="16"/>
                <w:szCs w:val="16"/>
              </w:rPr>
              <w:t>-290.417,62</w:t>
            </w:r>
          </w:p>
        </w:tc>
      </w:tr>
    </w:tbl>
    <w:p w:rsidR="00211123" w:rsidRPr="00211123" w:rsidRDefault="00211123" w:rsidP="00211123">
      <w:pPr>
        <w:widowControl w:val="0"/>
        <w:autoSpaceDE w:val="0"/>
        <w:autoSpaceDN w:val="0"/>
        <w:adjustRightInd w:val="0"/>
        <w:spacing w:after="0" w:line="240" w:lineRule="auto"/>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Mentre gli oneri finanziari sono così riferibili: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Capogruppo: Interessi passivi Euro </w:t>
      </w:r>
      <w:r w:rsidR="00446765">
        <w:rPr>
          <w:rFonts w:ascii="Arial" w:hAnsi="Arial" w:cs="Arial"/>
          <w:sz w:val="24"/>
          <w:szCs w:val="24"/>
        </w:rPr>
        <w:t>288.775,00</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Altri: Interessi passivi Euro </w:t>
      </w:r>
      <w:r w:rsidR="00446765">
        <w:rPr>
          <w:rFonts w:ascii="Arial" w:hAnsi="Arial" w:cs="Arial"/>
          <w:sz w:val="24"/>
          <w:szCs w:val="24"/>
        </w:rPr>
        <w:t>2.432,00</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sz w:val="24"/>
          <w:szCs w:val="24"/>
        </w:rPr>
      </w:pPr>
      <w:r w:rsidRPr="00211123">
        <w:rPr>
          <w:rFonts w:ascii="Arial" w:hAnsi="Arial" w:cs="Arial"/>
          <w:b/>
          <w:bCs/>
          <w:sz w:val="24"/>
          <w:szCs w:val="24"/>
        </w:rPr>
        <w:t>4 ALTRE INFORMAZIONI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Immobilizzazioni finanziarie iscritte ad un valore superiore al fair </w:t>
      </w:r>
      <w:proofErr w:type="spellStart"/>
      <w:r w:rsidRPr="00211123">
        <w:rPr>
          <w:rFonts w:ascii="Arial" w:hAnsi="Arial" w:cs="Arial"/>
          <w:sz w:val="24"/>
          <w:szCs w:val="24"/>
        </w:rPr>
        <w:t>value</w:t>
      </w:r>
      <w:proofErr w:type="spellEnd"/>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Nel bilancio</w:t>
      </w:r>
      <w:r w:rsidR="00446765">
        <w:rPr>
          <w:rFonts w:ascii="Arial" w:hAnsi="Arial" w:cs="Arial"/>
          <w:sz w:val="24"/>
          <w:szCs w:val="24"/>
        </w:rPr>
        <w:t xml:space="preserve"> non sono</w:t>
      </w:r>
      <w:r w:rsidRPr="00211123">
        <w:rPr>
          <w:rFonts w:ascii="Arial" w:hAnsi="Arial" w:cs="Arial"/>
          <w:sz w:val="24"/>
          <w:szCs w:val="24"/>
        </w:rPr>
        <w:t xml:space="preserve"> iscritte immobilizzazioni finanziarie per un valore superiore al loro fair </w:t>
      </w:r>
      <w:proofErr w:type="spellStart"/>
      <w:r w:rsidRPr="00211123">
        <w:rPr>
          <w:rFonts w:ascii="Arial" w:hAnsi="Arial" w:cs="Arial"/>
          <w:sz w:val="24"/>
          <w:szCs w:val="24"/>
        </w:rPr>
        <w:t>value</w:t>
      </w:r>
      <w:proofErr w:type="spellEnd"/>
      <w:r w:rsidRPr="00211123">
        <w:rPr>
          <w:rFonts w:ascii="Arial" w:hAnsi="Arial" w:cs="Arial"/>
          <w:sz w:val="24"/>
          <w:szCs w:val="24"/>
        </w:rPr>
        <w:t>.</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Operazioni realizzate con parti correlate</w:t>
      </w:r>
    </w:p>
    <w:p w:rsidR="00446765" w:rsidRDefault="00446765"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Non vi sono</w:t>
      </w:r>
      <w:r w:rsidR="00211123" w:rsidRPr="00211123">
        <w:rPr>
          <w:rFonts w:ascii="Arial" w:hAnsi="Arial" w:cs="Arial"/>
          <w:sz w:val="24"/>
          <w:szCs w:val="24"/>
        </w:rPr>
        <w:t xml:space="preserve"> operazioni rilevanti intercorse tra la capogruppo e parti correlate</w:t>
      </w:r>
      <w:r>
        <w:rPr>
          <w:rFonts w:ascii="Arial" w:hAnsi="Arial" w:cs="Arial"/>
          <w:sz w:val="24"/>
          <w:szCs w:val="24"/>
        </w:rPr>
        <w:t>.</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Elementi di ricavo o di costo di entità o incidenza eccezionali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Non sono presenti nel conto economico elementi di ricavo o di costo che per entità o incidenza sul risultato dell’esercizio, non sono ripetibili nel tempo.</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Accordi fuori bilancio, garanzie e passività potenziali non risultanti dallo stato patrimoniale</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la Società non ha in essere accordi non risultanti dallo Stato Patrimoniale. </w:t>
      </w:r>
      <w:r w:rsidR="00446765">
        <w:rPr>
          <w:rFonts w:ascii="Arial" w:hAnsi="Arial" w:cs="Arial"/>
          <w:sz w:val="24"/>
          <w:szCs w:val="24"/>
        </w:rPr>
        <w:t>Non vi sono</w:t>
      </w:r>
      <w:r w:rsidRPr="00211123">
        <w:rPr>
          <w:rFonts w:ascii="Arial" w:hAnsi="Arial" w:cs="Arial"/>
          <w:sz w:val="24"/>
          <w:szCs w:val="24"/>
        </w:rPr>
        <w:t xml:space="preserve"> impegni assunti dalla Società </w:t>
      </w:r>
      <w:r w:rsidR="00446765">
        <w:rPr>
          <w:rFonts w:ascii="Arial" w:hAnsi="Arial" w:cs="Arial"/>
          <w:sz w:val="24"/>
          <w:szCs w:val="24"/>
        </w:rPr>
        <w:t xml:space="preserve">partecipata </w:t>
      </w:r>
      <w:r w:rsidRPr="00211123">
        <w:rPr>
          <w:rFonts w:ascii="Arial" w:hAnsi="Arial" w:cs="Arial"/>
          <w:sz w:val="24"/>
          <w:szCs w:val="24"/>
        </w:rPr>
        <w:t>verso terzi</w:t>
      </w:r>
      <w:r w:rsidR="00446765">
        <w:rPr>
          <w:rFonts w:ascii="Arial" w:hAnsi="Arial" w:cs="Arial"/>
          <w:sz w:val="24"/>
          <w:szCs w:val="24"/>
        </w:rPr>
        <w:t>.</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Compensi spettanti ad amministratori e Sindaci</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 xml:space="preserve">Si evidenziano i compensi complessivi spettanti agli Amministratori e ai Sindaci della </w:t>
      </w:r>
      <w:r w:rsidR="00446765">
        <w:rPr>
          <w:rFonts w:ascii="Arial" w:hAnsi="Arial" w:cs="Arial"/>
          <w:sz w:val="24"/>
          <w:szCs w:val="24"/>
        </w:rPr>
        <w:t>società partecipata</w:t>
      </w:r>
      <w:r w:rsidRPr="00211123">
        <w:rPr>
          <w:rFonts w:ascii="Arial" w:hAnsi="Arial" w:cs="Arial"/>
          <w:sz w:val="24"/>
          <w:szCs w:val="24"/>
        </w:rPr>
        <w:t>, per lo svolgimento di tali funzioni.</w:t>
      </w:r>
    </w:p>
    <w:p w:rsidR="00211123" w:rsidRPr="00446765" w:rsidRDefault="00446765"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08" w:firstLine="708"/>
        <w:jc w:val="both"/>
        <w:rPr>
          <w:rFonts w:ascii="Arial" w:hAnsi="Arial" w:cs="Arial"/>
          <w:sz w:val="24"/>
          <w:szCs w:val="24"/>
        </w:rPr>
      </w:pPr>
      <w:r w:rsidRPr="00446765">
        <w:rPr>
          <w:rFonts w:ascii="Arial" w:hAnsi="Arial" w:cs="Arial"/>
          <w:sz w:val="24"/>
          <w:szCs w:val="24"/>
        </w:rPr>
        <w:t>Amministratori</w:t>
      </w:r>
      <w:r w:rsidRPr="00446765">
        <w:rPr>
          <w:rFonts w:ascii="Arial" w:hAnsi="Arial" w:cs="Arial"/>
          <w:sz w:val="24"/>
          <w:szCs w:val="24"/>
        </w:rPr>
        <w:tab/>
        <w:t>Euro 30.294,00</w:t>
      </w:r>
    </w:p>
    <w:p w:rsidR="00211123" w:rsidRPr="00446765" w:rsidRDefault="00446765"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08" w:firstLine="708"/>
        <w:jc w:val="both"/>
        <w:rPr>
          <w:rFonts w:ascii="Arial" w:hAnsi="Arial" w:cs="Arial"/>
          <w:sz w:val="24"/>
          <w:szCs w:val="24"/>
        </w:rPr>
      </w:pPr>
      <w:r w:rsidRPr="00446765">
        <w:rPr>
          <w:rFonts w:ascii="Arial" w:hAnsi="Arial" w:cs="Arial"/>
          <w:sz w:val="24"/>
          <w:szCs w:val="24"/>
        </w:rPr>
        <w:t>Sindaci</w:t>
      </w:r>
      <w:r w:rsidRPr="00446765">
        <w:rPr>
          <w:rFonts w:ascii="Arial" w:hAnsi="Arial" w:cs="Arial"/>
          <w:sz w:val="24"/>
          <w:szCs w:val="24"/>
        </w:rPr>
        <w:tab/>
      </w:r>
      <w:r w:rsidRPr="00446765">
        <w:rPr>
          <w:rFonts w:ascii="Arial" w:hAnsi="Arial" w:cs="Arial"/>
          <w:sz w:val="24"/>
          <w:szCs w:val="24"/>
        </w:rPr>
        <w:tab/>
        <w:t>Euro 3.600,00</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sz w:val="24"/>
          <w:szCs w:val="24"/>
        </w:rPr>
      </w:pPr>
      <w:r w:rsidRPr="00211123">
        <w:rPr>
          <w:rFonts w:ascii="Arial" w:hAnsi="Arial" w:cs="Arial"/>
          <w:sz w:val="24"/>
          <w:szCs w:val="24"/>
        </w:rPr>
        <w:t>* * *</w:t>
      </w:r>
    </w:p>
    <w:p w:rsidR="00211123" w:rsidRPr="00211123" w:rsidRDefault="00211123" w:rsidP="002111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sz w:val="24"/>
          <w:szCs w:val="24"/>
        </w:rPr>
      </w:pPr>
      <w:r w:rsidRPr="00211123">
        <w:rPr>
          <w:rFonts w:ascii="Arial" w:hAnsi="Arial" w:cs="Arial"/>
          <w:sz w:val="24"/>
          <w:szCs w:val="24"/>
        </w:rPr>
        <w:t>Il presente bilancio consolidato, composto da stato patrimoniale, conto economico e nota integrativa, rappresenta in modo veritiero e corretto la situazione patrimoniale e finanziaria nonché il risultato economico e corrisponde alle risultanze delle scritture contabili della controllante e alle informazioni trasmesse dalle imprese incluse nel consolidamento.</w:t>
      </w:r>
    </w:p>
    <w:p w:rsidR="00211123" w:rsidRPr="00211123" w:rsidRDefault="00211123" w:rsidP="00211123">
      <w:pPr>
        <w:widowControl w:val="0"/>
        <w:autoSpaceDE w:val="0"/>
        <w:autoSpaceDN w:val="0"/>
        <w:adjustRightInd w:val="0"/>
        <w:spacing w:after="0" w:line="240" w:lineRule="auto"/>
        <w:rPr>
          <w:rFonts w:ascii="Arial" w:hAnsi="Arial" w:cs="Arial"/>
          <w:sz w:val="24"/>
          <w:szCs w:val="24"/>
        </w:rPr>
      </w:pPr>
      <w:r w:rsidRPr="00211123">
        <w:rPr>
          <w:rFonts w:ascii="Arial" w:hAnsi="Arial" w:cs="Arial"/>
          <w:sz w:val="24"/>
          <w:szCs w:val="24"/>
        </w:rPr>
        <w:br w:type="page"/>
      </w:r>
    </w:p>
    <w:tbl>
      <w:tblPr>
        <w:tblW w:w="0" w:type="auto"/>
        <w:tblLayout w:type="fixed"/>
        <w:tblCellMar>
          <w:left w:w="36" w:type="dxa"/>
          <w:right w:w="36" w:type="dxa"/>
        </w:tblCellMar>
        <w:tblLook w:val="0000"/>
      </w:tblPr>
      <w:tblGrid>
        <w:gridCol w:w="1500"/>
        <w:gridCol w:w="7000"/>
        <w:gridCol w:w="1000"/>
      </w:tblGrid>
      <w:tr w:rsidR="00211123" w:rsidRPr="00211123">
        <w:tc>
          <w:tcPr>
            <w:tcW w:w="1500" w:type="dxa"/>
            <w:tcBorders>
              <w:top w:val="nil"/>
              <w:left w:val="nil"/>
              <w:bottom w:val="nil"/>
              <w:right w:val="nil"/>
            </w:tcBorders>
            <w:shd w:val="clear" w:color="auto" w:fill="4BACC6"/>
          </w:tcPr>
          <w:p w:rsidR="00211123" w:rsidRPr="00211123" w:rsidRDefault="00211123" w:rsidP="00211123">
            <w:pPr>
              <w:widowControl w:val="0"/>
              <w:autoSpaceDE w:val="0"/>
              <w:autoSpaceDN w:val="0"/>
              <w:adjustRightInd w:val="0"/>
              <w:spacing w:after="0" w:line="240" w:lineRule="auto"/>
              <w:rPr>
                <w:rFonts w:ascii="Arial" w:hAnsi="Arial" w:cs="Arial"/>
                <w:sz w:val="24"/>
                <w:szCs w:val="24"/>
              </w:rPr>
            </w:pPr>
          </w:p>
        </w:tc>
        <w:tc>
          <w:tcPr>
            <w:tcW w:w="7000" w:type="dxa"/>
            <w:tcBorders>
              <w:top w:val="nil"/>
              <w:left w:val="nil"/>
              <w:bottom w:val="nil"/>
              <w:right w:val="nil"/>
            </w:tcBorders>
            <w:shd w:val="clear" w:color="auto" w:fill="4BACC6"/>
          </w:tcPr>
          <w:p w:rsidR="00211123" w:rsidRPr="00211123" w:rsidRDefault="00211123" w:rsidP="00211123">
            <w:pPr>
              <w:widowControl w:val="0"/>
              <w:autoSpaceDE w:val="0"/>
              <w:autoSpaceDN w:val="0"/>
              <w:adjustRightInd w:val="0"/>
              <w:spacing w:after="0" w:line="240" w:lineRule="auto"/>
              <w:jc w:val="center"/>
              <w:rPr>
                <w:rFonts w:ascii="Arial" w:hAnsi="Arial" w:cs="Arial"/>
                <w:sz w:val="24"/>
                <w:szCs w:val="24"/>
              </w:rPr>
            </w:pPr>
            <w:r w:rsidRPr="00211123">
              <w:rPr>
                <w:rFonts w:ascii="Arial" w:hAnsi="Arial" w:cs="Arial"/>
                <w:b/>
                <w:bCs/>
                <w:color w:val="FFFFFF"/>
                <w:sz w:val="20"/>
                <w:szCs w:val="20"/>
              </w:rPr>
              <w:t>Indice</w:t>
            </w:r>
          </w:p>
        </w:tc>
        <w:tc>
          <w:tcPr>
            <w:tcW w:w="1000" w:type="dxa"/>
            <w:tcBorders>
              <w:top w:val="nil"/>
              <w:left w:val="nil"/>
              <w:bottom w:val="nil"/>
              <w:right w:val="nil"/>
            </w:tcBorders>
            <w:shd w:val="clear" w:color="auto" w:fill="4BACC6"/>
            <w:vAlign w:val="bottom"/>
          </w:tcPr>
          <w:p w:rsidR="00211123" w:rsidRPr="00211123" w:rsidRDefault="00211123" w:rsidP="00211123">
            <w:pPr>
              <w:widowControl w:val="0"/>
              <w:autoSpaceDE w:val="0"/>
              <w:autoSpaceDN w:val="0"/>
              <w:adjustRightInd w:val="0"/>
              <w:spacing w:after="0" w:line="240" w:lineRule="auto"/>
              <w:jc w:val="right"/>
              <w:rPr>
                <w:rFonts w:ascii="Arial" w:hAnsi="Arial" w:cs="Arial"/>
                <w:color w:val="000000"/>
                <w:sz w:val="20"/>
                <w:szCs w:val="20"/>
              </w:rPr>
            </w:pPr>
          </w:p>
        </w:tc>
      </w:tr>
      <w:tr w:rsidR="00211123" w:rsidRPr="00211123">
        <w:tc>
          <w:tcPr>
            <w:tcW w:w="15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p>
        </w:tc>
        <w:tc>
          <w:tcPr>
            <w:tcW w:w="70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p>
        </w:tc>
        <w:tc>
          <w:tcPr>
            <w:tcW w:w="1000" w:type="dxa"/>
            <w:tcBorders>
              <w:top w:val="nil"/>
              <w:left w:val="nil"/>
              <w:bottom w:val="nil"/>
              <w:right w:val="nil"/>
            </w:tcBorders>
            <w:vAlign w:val="bottom"/>
          </w:tcPr>
          <w:p w:rsidR="00211123" w:rsidRPr="00211123" w:rsidRDefault="00211123" w:rsidP="00211123">
            <w:pPr>
              <w:widowControl w:val="0"/>
              <w:autoSpaceDE w:val="0"/>
              <w:autoSpaceDN w:val="0"/>
              <w:adjustRightInd w:val="0"/>
              <w:spacing w:after="0" w:line="240" w:lineRule="auto"/>
              <w:jc w:val="right"/>
              <w:rPr>
                <w:rFonts w:ascii="Arial" w:hAnsi="Arial" w:cs="Arial"/>
                <w:color w:val="000000"/>
                <w:sz w:val="20"/>
                <w:szCs w:val="20"/>
              </w:rPr>
            </w:pPr>
          </w:p>
        </w:tc>
      </w:tr>
      <w:tr w:rsidR="00211123" w:rsidRPr="00211123">
        <w:tc>
          <w:tcPr>
            <w:tcW w:w="15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p>
        </w:tc>
        <w:tc>
          <w:tcPr>
            <w:tcW w:w="70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r w:rsidRPr="00211123">
              <w:rPr>
                <w:rFonts w:ascii="Arial" w:hAnsi="Arial" w:cs="Arial"/>
                <w:color w:val="000000"/>
                <w:sz w:val="20"/>
                <w:szCs w:val="20"/>
              </w:rPr>
              <w:t>Premessa</w:t>
            </w:r>
          </w:p>
        </w:tc>
        <w:tc>
          <w:tcPr>
            <w:tcW w:w="1000" w:type="dxa"/>
            <w:tcBorders>
              <w:top w:val="nil"/>
              <w:left w:val="nil"/>
              <w:bottom w:val="nil"/>
              <w:right w:val="nil"/>
            </w:tcBorders>
            <w:vAlign w:val="bottom"/>
          </w:tcPr>
          <w:p w:rsidR="00211123" w:rsidRPr="00211123" w:rsidRDefault="00211123" w:rsidP="00211123">
            <w:pPr>
              <w:widowControl w:val="0"/>
              <w:autoSpaceDE w:val="0"/>
              <w:autoSpaceDN w:val="0"/>
              <w:adjustRightInd w:val="0"/>
              <w:spacing w:after="0" w:line="240" w:lineRule="auto"/>
              <w:jc w:val="right"/>
              <w:rPr>
                <w:rFonts w:ascii="Arial" w:hAnsi="Arial" w:cs="Arial"/>
                <w:color w:val="000000"/>
                <w:sz w:val="20"/>
                <w:szCs w:val="20"/>
              </w:rPr>
            </w:pPr>
            <w:r w:rsidRPr="00211123">
              <w:rPr>
                <w:rFonts w:ascii="Arial" w:hAnsi="Arial" w:cs="Arial"/>
                <w:color w:val="000000"/>
                <w:sz w:val="20"/>
                <w:szCs w:val="20"/>
              </w:rPr>
              <w:t>2</w:t>
            </w:r>
          </w:p>
        </w:tc>
      </w:tr>
      <w:tr w:rsidR="00211123" w:rsidRPr="00211123">
        <w:tc>
          <w:tcPr>
            <w:tcW w:w="15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r w:rsidRPr="00211123">
              <w:rPr>
                <w:rFonts w:ascii="Arial" w:hAnsi="Arial" w:cs="Arial"/>
                <w:color w:val="000000"/>
                <w:sz w:val="20"/>
                <w:szCs w:val="20"/>
              </w:rPr>
              <w:t xml:space="preserve">  1</w:t>
            </w:r>
          </w:p>
        </w:tc>
        <w:tc>
          <w:tcPr>
            <w:tcW w:w="70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r w:rsidRPr="00211123">
              <w:rPr>
                <w:rFonts w:ascii="Arial" w:hAnsi="Arial" w:cs="Arial"/>
                <w:color w:val="000000"/>
                <w:sz w:val="20"/>
                <w:szCs w:val="20"/>
              </w:rPr>
              <w:t>RELAZIONE SULLA GESTIONE</w:t>
            </w:r>
          </w:p>
        </w:tc>
        <w:tc>
          <w:tcPr>
            <w:tcW w:w="1000" w:type="dxa"/>
            <w:tcBorders>
              <w:top w:val="nil"/>
              <w:left w:val="nil"/>
              <w:bottom w:val="nil"/>
              <w:right w:val="nil"/>
            </w:tcBorders>
            <w:vAlign w:val="bottom"/>
          </w:tcPr>
          <w:p w:rsidR="00211123" w:rsidRPr="00211123" w:rsidRDefault="00211123" w:rsidP="00211123">
            <w:pPr>
              <w:widowControl w:val="0"/>
              <w:autoSpaceDE w:val="0"/>
              <w:autoSpaceDN w:val="0"/>
              <w:adjustRightInd w:val="0"/>
              <w:spacing w:after="0" w:line="240" w:lineRule="auto"/>
              <w:jc w:val="right"/>
              <w:rPr>
                <w:rFonts w:ascii="Arial" w:hAnsi="Arial" w:cs="Arial"/>
                <w:color w:val="000000"/>
                <w:sz w:val="20"/>
                <w:szCs w:val="20"/>
              </w:rPr>
            </w:pPr>
            <w:r w:rsidRPr="00211123">
              <w:rPr>
                <w:rFonts w:ascii="Arial" w:hAnsi="Arial" w:cs="Arial"/>
                <w:color w:val="000000"/>
                <w:sz w:val="20"/>
                <w:szCs w:val="20"/>
              </w:rPr>
              <w:t>5</w:t>
            </w:r>
          </w:p>
        </w:tc>
      </w:tr>
      <w:tr w:rsidR="00211123" w:rsidRPr="00211123">
        <w:tc>
          <w:tcPr>
            <w:tcW w:w="15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r w:rsidRPr="00211123">
              <w:rPr>
                <w:rFonts w:ascii="Arial" w:hAnsi="Arial" w:cs="Arial"/>
                <w:color w:val="000000"/>
                <w:sz w:val="20"/>
                <w:szCs w:val="20"/>
              </w:rPr>
              <w:t xml:space="preserve">    1.1</w:t>
            </w:r>
          </w:p>
        </w:tc>
        <w:tc>
          <w:tcPr>
            <w:tcW w:w="70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r w:rsidRPr="00211123">
              <w:rPr>
                <w:rFonts w:ascii="Arial" w:hAnsi="Arial" w:cs="Arial"/>
                <w:color w:val="000000"/>
                <w:sz w:val="20"/>
                <w:szCs w:val="20"/>
              </w:rPr>
              <w:t>Analisi dei principali dati economici</w:t>
            </w:r>
          </w:p>
        </w:tc>
        <w:tc>
          <w:tcPr>
            <w:tcW w:w="1000" w:type="dxa"/>
            <w:tcBorders>
              <w:top w:val="nil"/>
              <w:left w:val="nil"/>
              <w:bottom w:val="nil"/>
              <w:right w:val="nil"/>
            </w:tcBorders>
            <w:vAlign w:val="bottom"/>
          </w:tcPr>
          <w:p w:rsidR="00211123" w:rsidRPr="00211123" w:rsidRDefault="00211123" w:rsidP="00211123">
            <w:pPr>
              <w:widowControl w:val="0"/>
              <w:autoSpaceDE w:val="0"/>
              <w:autoSpaceDN w:val="0"/>
              <w:adjustRightInd w:val="0"/>
              <w:spacing w:after="0" w:line="240" w:lineRule="auto"/>
              <w:jc w:val="right"/>
              <w:rPr>
                <w:rFonts w:ascii="Arial" w:hAnsi="Arial" w:cs="Arial"/>
                <w:color w:val="000000"/>
                <w:sz w:val="20"/>
                <w:szCs w:val="20"/>
              </w:rPr>
            </w:pPr>
            <w:r w:rsidRPr="00211123">
              <w:rPr>
                <w:rFonts w:ascii="Arial" w:hAnsi="Arial" w:cs="Arial"/>
                <w:color w:val="000000"/>
                <w:sz w:val="20"/>
                <w:szCs w:val="20"/>
              </w:rPr>
              <w:t>5</w:t>
            </w:r>
          </w:p>
        </w:tc>
      </w:tr>
      <w:tr w:rsidR="00211123" w:rsidRPr="00211123">
        <w:tc>
          <w:tcPr>
            <w:tcW w:w="15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r w:rsidRPr="00211123">
              <w:rPr>
                <w:rFonts w:ascii="Arial" w:hAnsi="Arial" w:cs="Arial"/>
                <w:color w:val="000000"/>
                <w:sz w:val="20"/>
                <w:szCs w:val="20"/>
              </w:rPr>
              <w:t xml:space="preserve">    1.2</w:t>
            </w:r>
          </w:p>
        </w:tc>
        <w:tc>
          <w:tcPr>
            <w:tcW w:w="70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r w:rsidRPr="00211123">
              <w:rPr>
                <w:rFonts w:ascii="Arial" w:hAnsi="Arial" w:cs="Arial"/>
                <w:color w:val="000000"/>
                <w:sz w:val="20"/>
                <w:szCs w:val="20"/>
              </w:rPr>
              <w:t>Analisi dei principali dati patrimoniali e finanziari</w:t>
            </w:r>
          </w:p>
        </w:tc>
        <w:tc>
          <w:tcPr>
            <w:tcW w:w="1000" w:type="dxa"/>
            <w:tcBorders>
              <w:top w:val="nil"/>
              <w:left w:val="nil"/>
              <w:bottom w:val="nil"/>
              <w:right w:val="nil"/>
            </w:tcBorders>
            <w:vAlign w:val="bottom"/>
          </w:tcPr>
          <w:p w:rsidR="00211123" w:rsidRPr="00211123" w:rsidRDefault="00211123" w:rsidP="00211123">
            <w:pPr>
              <w:widowControl w:val="0"/>
              <w:autoSpaceDE w:val="0"/>
              <w:autoSpaceDN w:val="0"/>
              <w:adjustRightInd w:val="0"/>
              <w:spacing w:after="0" w:line="240" w:lineRule="auto"/>
              <w:jc w:val="right"/>
              <w:rPr>
                <w:rFonts w:ascii="Arial" w:hAnsi="Arial" w:cs="Arial"/>
                <w:color w:val="000000"/>
                <w:sz w:val="20"/>
                <w:szCs w:val="20"/>
              </w:rPr>
            </w:pPr>
            <w:r w:rsidRPr="00211123">
              <w:rPr>
                <w:rFonts w:ascii="Arial" w:hAnsi="Arial" w:cs="Arial"/>
                <w:color w:val="000000"/>
                <w:sz w:val="20"/>
                <w:szCs w:val="20"/>
              </w:rPr>
              <w:t>7</w:t>
            </w:r>
          </w:p>
        </w:tc>
      </w:tr>
      <w:tr w:rsidR="00211123" w:rsidRPr="00211123">
        <w:tc>
          <w:tcPr>
            <w:tcW w:w="15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r w:rsidRPr="00211123">
              <w:rPr>
                <w:rFonts w:ascii="Arial" w:hAnsi="Arial" w:cs="Arial"/>
                <w:color w:val="000000"/>
                <w:sz w:val="20"/>
                <w:szCs w:val="20"/>
              </w:rPr>
              <w:t xml:space="preserve">    1.3</w:t>
            </w:r>
          </w:p>
        </w:tc>
        <w:tc>
          <w:tcPr>
            <w:tcW w:w="70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r w:rsidRPr="00211123">
              <w:rPr>
                <w:rFonts w:ascii="Arial" w:hAnsi="Arial" w:cs="Arial"/>
                <w:color w:val="000000"/>
                <w:sz w:val="20"/>
                <w:szCs w:val="20"/>
              </w:rPr>
              <w:t>Altre informazioni</w:t>
            </w:r>
          </w:p>
        </w:tc>
        <w:tc>
          <w:tcPr>
            <w:tcW w:w="1000" w:type="dxa"/>
            <w:tcBorders>
              <w:top w:val="nil"/>
              <w:left w:val="nil"/>
              <w:bottom w:val="nil"/>
              <w:right w:val="nil"/>
            </w:tcBorders>
            <w:vAlign w:val="bottom"/>
          </w:tcPr>
          <w:p w:rsidR="00211123" w:rsidRPr="00211123" w:rsidRDefault="00211123" w:rsidP="00211123">
            <w:pPr>
              <w:widowControl w:val="0"/>
              <w:autoSpaceDE w:val="0"/>
              <w:autoSpaceDN w:val="0"/>
              <w:adjustRightInd w:val="0"/>
              <w:spacing w:after="0" w:line="240" w:lineRule="auto"/>
              <w:jc w:val="right"/>
              <w:rPr>
                <w:rFonts w:ascii="Arial" w:hAnsi="Arial" w:cs="Arial"/>
                <w:color w:val="000000"/>
                <w:sz w:val="20"/>
                <w:szCs w:val="20"/>
              </w:rPr>
            </w:pPr>
            <w:r w:rsidRPr="00211123">
              <w:rPr>
                <w:rFonts w:ascii="Arial" w:hAnsi="Arial" w:cs="Arial"/>
                <w:color w:val="000000"/>
                <w:sz w:val="20"/>
                <w:szCs w:val="20"/>
              </w:rPr>
              <w:t>9</w:t>
            </w:r>
          </w:p>
        </w:tc>
      </w:tr>
      <w:tr w:rsidR="00211123" w:rsidRPr="00211123">
        <w:tc>
          <w:tcPr>
            <w:tcW w:w="15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r w:rsidRPr="00211123">
              <w:rPr>
                <w:rFonts w:ascii="Arial" w:hAnsi="Arial" w:cs="Arial"/>
                <w:color w:val="000000"/>
                <w:sz w:val="20"/>
                <w:szCs w:val="20"/>
              </w:rPr>
              <w:t xml:space="preserve">  2</w:t>
            </w:r>
          </w:p>
        </w:tc>
        <w:tc>
          <w:tcPr>
            <w:tcW w:w="70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r w:rsidRPr="00211123">
              <w:rPr>
                <w:rFonts w:ascii="Arial" w:hAnsi="Arial" w:cs="Arial"/>
                <w:color w:val="000000"/>
                <w:sz w:val="20"/>
                <w:szCs w:val="20"/>
              </w:rPr>
              <w:t>NOTA INTEGRATIVA AL BILANCIO CONSOLIDATO</w:t>
            </w:r>
          </w:p>
        </w:tc>
        <w:tc>
          <w:tcPr>
            <w:tcW w:w="1000" w:type="dxa"/>
            <w:tcBorders>
              <w:top w:val="nil"/>
              <w:left w:val="nil"/>
              <w:bottom w:val="nil"/>
              <w:right w:val="nil"/>
            </w:tcBorders>
            <w:vAlign w:val="bottom"/>
          </w:tcPr>
          <w:p w:rsidR="00211123" w:rsidRPr="00211123" w:rsidRDefault="00211123" w:rsidP="00211123">
            <w:pPr>
              <w:widowControl w:val="0"/>
              <w:autoSpaceDE w:val="0"/>
              <w:autoSpaceDN w:val="0"/>
              <w:adjustRightInd w:val="0"/>
              <w:spacing w:after="0" w:line="240" w:lineRule="auto"/>
              <w:jc w:val="right"/>
              <w:rPr>
                <w:rFonts w:ascii="Arial" w:hAnsi="Arial" w:cs="Arial"/>
                <w:color w:val="000000"/>
                <w:sz w:val="20"/>
                <w:szCs w:val="20"/>
              </w:rPr>
            </w:pPr>
            <w:r w:rsidRPr="00211123">
              <w:rPr>
                <w:rFonts w:ascii="Arial" w:hAnsi="Arial" w:cs="Arial"/>
                <w:color w:val="000000"/>
                <w:sz w:val="20"/>
                <w:szCs w:val="20"/>
              </w:rPr>
              <w:t>11</w:t>
            </w:r>
          </w:p>
        </w:tc>
      </w:tr>
      <w:tr w:rsidR="00211123" w:rsidRPr="00211123">
        <w:tc>
          <w:tcPr>
            <w:tcW w:w="15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r w:rsidRPr="00211123">
              <w:rPr>
                <w:rFonts w:ascii="Arial" w:hAnsi="Arial" w:cs="Arial"/>
                <w:color w:val="000000"/>
                <w:sz w:val="20"/>
                <w:szCs w:val="20"/>
              </w:rPr>
              <w:t xml:space="preserve">    2.1</w:t>
            </w:r>
          </w:p>
        </w:tc>
        <w:tc>
          <w:tcPr>
            <w:tcW w:w="70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r w:rsidRPr="00211123">
              <w:rPr>
                <w:rFonts w:ascii="Arial" w:hAnsi="Arial" w:cs="Arial"/>
                <w:color w:val="000000"/>
                <w:sz w:val="20"/>
                <w:szCs w:val="20"/>
              </w:rPr>
              <w:t>Criteri di formazione</w:t>
            </w:r>
          </w:p>
        </w:tc>
        <w:tc>
          <w:tcPr>
            <w:tcW w:w="1000" w:type="dxa"/>
            <w:tcBorders>
              <w:top w:val="nil"/>
              <w:left w:val="nil"/>
              <w:bottom w:val="nil"/>
              <w:right w:val="nil"/>
            </w:tcBorders>
            <w:vAlign w:val="bottom"/>
          </w:tcPr>
          <w:p w:rsidR="00211123" w:rsidRPr="00211123" w:rsidRDefault="00211123" w:rsidP="00211123">
            <w:pPr>
              <w:widowControl w:val="0"/>
              <w:autoSpaceDE w:val="0"/>
              <w:autoSpaceDN w:val="0"/>
              <w:adjustRightInd w:val="0"/>
              <w:spacing w:after="0" w:line="240" w:lineRule="auto"/>
              <w:jc w:val="right"/>
              <w:rPr>
                <w:rFonts w:ascii="Arial" w:hAnsi="Arial" w:cs="Arial"/>
                <w:color w:val="000000"/>
                <w:sz w:val="20"/>
                <w:szCs w:val="20"/>
              </w:rPr>
            </w:pPr>
            <w:r w:rsidRPr="00211123">
              <w:rPr>
                <w:rFonts w:ascii="Arial" w:hAnsi="Arial" w:cs="Arial"/>
                <w:color w:val="000000"/>
                <w:sz w:val="20"/>
                <w:szCs w:val="20"/>
              </w:rPr>
              <w:t>11</w:t>
            </w:r>
          </w:p>
        </w:tc>
      </w:tr>
      <w:tr w:rsidR="00211123" w:rsidRPr="00211123">
        <w:tc>
          <w:tcPr>
            <w:tcW w:w="15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r w:rsidRPr="00211123">
              <w:rPr>
                <w:rFonts w:ascii="Arial" w:hAnsi="Arial" w:cs="Arial"/>
                <w:color w:val="000000"/>
                <w:sz w:val="20"/>
                <w:szCs w:val="20"/>
              </w:rPr>
              <w:t xml:space="preserve">    2.2</w:t>
            </w:r>
          </w:p>
        </w:tc>
        <w:tc>
          <w:tcPr>
            <w:tcW w:w="70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r w:rsidRPr="00211123">
              <w:rPr>
                <w:rFonts w:ascii="Arial" w:hAnsi="Arial" w:cs="Arial"/>
                <w:color w:val="000000"/>
                <w:sz w:val="20"/>
                <w:szCs w:val="20"/>
              </w:rPr>
              <w:t>Criteri di valutazione</w:t>
            </w:r>
          </w:p>
        </w:tc>
        <w:tc>
          <w:tcPr>
            <w:tcW w:w="1000" w:type="dxa"/>
            <w:tcBorders>
              <w:top w:val="nil"/>
              <w:left w:val="nil"/>
              <w:bottom w:val="nil"/>
              <w:right w:val="nil"/>
            </w:tcBorders>
            <w:vAlign w:val="bottom"/>
          </w:tcPr>
          <w:p w:rsidR="00211123" w:rsidRPr="00211123" w:rsidRDefault="00211123" w:rsidP="00211123">
            <w:pPr>
              <w:widowControl w:val="0"/>
              <w:autoSpaceDE w:val="0"/>
              <w:autoSpaceDN w:val="0"/>
              <w:adjustRightInd w:val="0"/>
              <w:spacing w:after="0" w:line="240" w:lineRule="auto"/>
              <w:jc w:val="right"/>
              <w:rPr>
                <w:rFonts w:ascii="Arial" w:hAnsi="Arial" w:cs="Arial"/>
                <w:color w:val="000000"/>
                <w:sz w:val="20"/>
                <w:szCs w:val="20"/>
              </w:rPr>
            </w:pPr>
            <w:r w:rsidRPr="00211123">
              <w:rPr>
                <w:rFonts w:ascii="Arial" w:hAnsi="Arial" w:cs="Arial"/>
                <w:color w:val="000000"/>
                <w:sz w:val="20"/>
                <w:szCs w:val="20"/>
              </w:rPr>
              <w:t>18</w:t>
            </w:r>
          </w:p>
        </w:tc>
      </w:tr>
      <w:tr w:rsidR="00211123" w:rsidRPr="00211123">
        <w:tc>
          <w:tcPr>
            <w:tcW w:w="15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r w:rsidRPr="00211123">
              <w:rPr>
                <w:rFonts w:ascii="Arial" w:hAnsi="Arial" w:cs="Arial"/>
                <w:color w:val="000000"/>
                <w:sz w:val="20"/>
                <w:szCs w:val="20"/>
              </w:rPr>
              <w:t xml:space="preserve">  3</w:t>
            </w:r>
          </w:p>
        </w:tc>
        <w:tc>
          <w:tcPr>
            <w:tcW w:w="70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r w:rsidRPr="00211123">
              <w:rPr>
                <w:rFonts w:ascii="Arial" w:hAnsi="Arial" w:cs="Arial"/>
                <w:color w:val="000000"/>
                <w:sz w:val="20"/>
                <w:szCs w:val="20"/>
              </w:rPr>
              <w:t>ANALISI DELLE PRINCIPALI VOCI DEL BILANCIO E DELLE VARIAZIONI SIGNIFICATIVE INTERVENUTE NELLA LORO CONSISTENZA</w:t>
            </w:r>
          </w:p>
        </w:tc>
        <w:tc>
          <w:tcPr>
            <w:tcW w:w="1000" w:type="dxa"/>
            <w:tcBorders>
              <w:top w:val="nil"/>
              <w:left w:val="nil"/>
              <w:bottom w:val="nil"/>
              <w:right w:val="nil"/>
            </w:tcBorders>
            <w:vAlign w:val="bottom"/>
          </w:tcPr>
          <w:p w:rsidR="00211123" w:rsidRPr="00211123" w:rsidRDefault="00211123" w:rsidP="00211123">
            <w:pPr>
              <w:widowControl w:val="0"/>
              <w:autoSpaceDE w:val="0"/>
              <w:autoSpaceDN w:val="0"/>
              <w:adjustRightInd w:val="0"/>
              <w:spacing w:after="0" w:line="240" w:lineRule="auto"/>
              <w:jc w:val="right"/>
              <w:rPr>
                <w:rFonts w:ascii="Arial" w:hAnsi="Arial" w:cs="Arial"/>
                <w:color w:val="000000"/>
                <w:sz w:val="20"/>
                <w:szCs w:val="20"/>
              </w:rPr>
            </w:pPr>
            <w:r w:rsidRPr="00211123">
              <w:rPr>
                <w:rFonts w:ascii="Arial" w:hAnsi="Arial" w:cs="Arial"/>
                <w:color w:val="000000"/>
                <w:sz w:val="20"/>
                <w:szCs w:val="20"/>
              </w:rPr>
              <w:t>22</w:t>
            </w:r>
          </w:p>
        </w:tc>
      </w:tr>
      <w:tr w:rsidR="00211123" w:rsidRPr="00211123">
        <w:tc>
          <w:tcPr>
            <w:tcW w:w="15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r w:rsidRPr="00211123">
              <w:rPr>
                <w:rFonts w:ascii="Arial" w:hAnsi="Arial" w:cs="Arial"/>
                <w:color w:val="000000"/>
                <w:sz w:val="20"/>
                <w:szCs w:val="20"/>
              </w:rPr>
              <w:t xml:space="preserve">    3.1</w:t>
            </w:r>
          </w:p>
        </w:tc>
        <w:tc>
          <w:tcPr>
            <w:tcW w:w="70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r w:rsidRPr="00211123">
              <w:rPr>
                <w:rFonts w:ascii="Arial" w:hAnsi="Arial" w:cs="Arial"/>
                <w:color w:val="000000"/>
                <w:sz w:val="20"/>
                <w:szCs w:val="20"/>
              </w:rPr>
              <w:t>Stato patrimoniale</w:t>
            </w:r>
          </w:p>
        </w:tc>
        <w:tc>
          <w:tcPr>
            <w:tcW w:w="1000" w:type="dxa"/>
            <w:tcBorders>
              <w:top w:val="nil"/>
              <w:left w:val="nil"/>
              <w:bottom w:val="nil"/>
              <w:right w:val="nil"/>
            </w:tcBorders>
            <w:vAlign w:val="bottom"/>
          </w:tcPr>
          <w:p w:rsidR="00211123" w:rsidRPr="00211123" w:rsidRDefault="00211123" w:rsidP="00211123">
            <w:pPr>
              <w:widowControl w:val="0"/>
              <w:autoSpaceDE w:val="0"/>
              <w:autoSpaceDN w:val="0"/>
              <w:adjustRightInd w:val="0"/>
              <w:spacing w:after="0" w:line="240" w:lineRule="auto"/>
              <w:jc w:val="right"/>
              <w:rPr>
                <w:rFonts w:ascii="Arial" w:hAnsi="Arial" w:cs="Arial"/>
                <w:color w:val="000000"/>
                <w:sz w:val="20"/>
                <w:szCs w:val="20"/>
              </w:rPr>
            </w:pPr>
            <w:r w:rsidRPr="00211123">
              <w:rPr>
                <w:rFonts w:ascii="Arial" w:hAnsi="Arial" w:cs="Arial"/>
                <w:color w:val="000000"/>
                <w:sz w:val="20"/>
                <w:szCs w:val="20"/>
              </w:rPr>
              <w:t>22</w:t>
            </w:r>
          </w:p>
        </w:tc>
      </w:tr>
      <w:tr w:rsidR="00211123" w:rsidRPr="00211123">
        <w:tc>
          <w:tcPr>
            <w:tcW w:w="15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r w:rsidRPr="00211123">
              <w:rPr>
                <w:rFonts w:ascii="Arial" w:hAnsi="Arial" w:cs="Arial"/>
                <w:color w:val="000000"/>
                <w:sz w:val="20"/>
                <w:szCs w:val="20"/>
              </w:rPr>
              <w:t xml:space="preserve">    3.2</w:t>
            </w:r>
          </w:p>
        </w:tc>
        <w:tc>
          <w:tcPr>
            <w:tcW w:w="70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r w:rsidRPr="00211123">
              <w:rPr>
                <w:rFonts w:ascii="Arial" w:hAnsi="Arial" w:cs="Arial"/>
                <w:color w:val="000000"/>
                <w:sz w:val="20"/>
                <w:szCs w:val="20"/>
              </w:rPr>
              <w:t>Conto economico</w:t>
            </w:r>
          </w:p>
        </w:tc>
        <w:tc>
          <w:tcPr>
            <w:tcW w:w="1000" w:type="dxa"/>
            <w:tcBorders>
              <w:top w:val="nil"/>
              <w:left w:val="nil"/>
              <w:bottom w:val="nil"/>
              <w:right w:val="nil"/>
            </w:tcBorders>
            <w:vAlign w:val="bottom"/>
          </w:tcPr>
          <w:p w:rsidR="00211123" w:rsidRPr="00211123" w:rsidRDefault="00211123" w:rsidP="00211123">
            <w:pPr>
              <w:widowControl w:val="0"/>
              <w:autoSpaceDE w:val="0"/>
              <w:autoSpaceDN w:val="0"/>
              <w:adjustRightInd w:val="0"/>
              <w:spacing w:after="0" w:line="240" w:lineRule="auto"/>
              <w:jc w:val="right"/>
              <w:rPr>
                <w:rFonts w:ascii="Arial" w:hAnsi="Arial" w:cs="Arial"/>
                <w:color w:val="000000"/>
                <w:sz w:val="20"/>
                <w:szCs w:val="20"/>
              </w:rPr>
            </w:pPr>
            <w:r w:rsidRPr="00211123">
              <w:rPr>
                <w:rFonts w:ascii="Arial" w:hAnsi="Arial" w:cs="Arial"/>
                <w:color w:val="000000"/>
                <w:sz w:val="20"/>
                <w:szCs w:val="20"/>
              </w:rPr>
              <w:t>29</w:t>
            </w:r>
          </w:p>
        </w:tc>
      </w:tr>
      <w:tr w:rsidR="00211123" w:rsidRPr="00211123">
        <w:tc>
          <w:tcPr>
            <w:tcW w:w="15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r w:rsidRPr="00211123">
              <w:rPr>
                <w:rFonts w:ascii="Arial" w:hAnsi="Arial" w:cs="Arial"/>
                <w:color w:val="000000"/>
                <w:sz w:val="20"/>
                <w:szCs w:val="20"/>
              </w:rPr>
              <w:t xml:space="preserve">  4</w:t>
            </w:r>
          </w:p>
        </w:tc>
        <w:tc>
          <w:tcPr>
            <w:tcW w:w="7000" w:type="dxa"/>
            <w:tcBorders>
              <w:top w:val="nil"/>
              <w:left w:val="nil"/>
              <w:bottom w:val="nil"/>
              <w:right w:val="nil"/>
            </w:tcBorders>
          </w:tcPr>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r w:rsidRPr="00211123">
              <w:rPr>
                <w:rFonts w:ascii="Arial" w:hAnsi="Arial" w:cs="Arial"/>
                <w:color w:val="000000"/>
                <w:sz w:val="20"/>
                <w:szCs w:val="20"/>
              </w:rPr>
              <w:t>ALTRE INFORMAZIONI</w:t>
            </w:r>
          </w:p>
        </w:tc>
        <w:tc>
          <w:tcPr>
            <w:tcW w:w="1000" w:type="dxa"/>
            <w:tcBorders>
              <w:top w:val="nil"/>
              <w:left w:val="nil"/>
              <w:bottom w:val="nil"/>
              <w:right w:val="nil"/>
            </w:tcBorders>
            <w:vAlign w:val="bottom"/>
          </w:tcPr>
          <w:p w:rsidR="00211123" w:rsidRPr="00211123" w:rsidRDefault="00211123" w:rsidP="00211123">
            <w:pPr>
              <w:widowControl w:val="0"/>
              <w:autoSpaceDE w:val="0"/>
              <w:autoSpaceDN w:val="0"/>
              <w:adjustRightInd w:val="0"/>
              <w:spacing w:after="0" w:line="240" w:lineRule="auto"/>
              <w:jc w:val="right"/>
              <w:rPr>
                <w:rFonts w:ascii="Arial" w:hAnsi="Arial" w:cs="Arial"/>
                <w:color w:val="000000"/>
                <w:sz w:val="20"/>
                <w:szCs w:val="20"/>
              </w:rPr>
            </w:pPr>
            <w:r w:rsidRPr="00211123">
              <w:rPr>
                <w:rFonts w:ascii="Arial" w:hAnsi="Arial" w:cs="Arial"/>
                <w:color w:val="000000"/>
                <w:sz w:val="20"/>
                <w:szCs w:val="20"/>
              </w:rPr>
              <w:t>30</w:t>
            </w:r>
          </w:p>
        </w:tc>
      </w:tr>
    </w:tbl>
    <w:p w:rsidR="00211123" w:rsidRPr="00211123" w:rsidRDefault="00211123" w:rsidP="00211123">
      <w:pPr>
        <w:widowControl w:val="0"/>
        <w:autoSpaceDE w:val="0"/>
        <w:autoSpaceDN w:val="0"/>
        <w:adjustRightInd w:val="0"/>
        <w:spacing w:after="0" w:line="240" w:lineRule="auto"/>
        <w:rPr>
          <w:rFonts w:ascii="Arial" w:hAnsi="Arial" w:cs="Arial"/>
          <w:color w:val="000000"/>
          <w:sz w:val="20"/>
          <w:szCs w:val="20"/>
        </w:rPr>
      </w:pPr>
    </w:p>
    <w:p w:rsidR="00F121C3" w:rsidRDefault="00F121C3">
      <w:bookmarkStart w:id="0" w:name="_GoBack"/>
      <w:bookmarkEnd w:id="0"/>
    </w:p>
    <w:sectPr w:rsidR="00F121C3" w:rsidSect="00E724C8">
      <w:headerReference w:type="default" r:id="rId9"/>
      <w:footerReference w:type="default" r:id="rId10"/>
      <w:headerReference w:type="first" r:id="rId11"/>
      <w:footerReference w:type="first" r:id="rId12"/>
      <w:pgSz w:w="12000" w:h="16500"/>
      <w:pgMar w:top="1200" w:right="1134" w:bottom="1000" w:left="1247" w:header="567" w:footer="567"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59F" w:rsidRDefault="0038059F" w:rsidP="005E5DF3">
      <w:pPr>
        <w:spacing w:after="0" w:line="240" w:lineRule="auto"/>
      </w:pPr>
      <w:r>
        <w:separator/>
      </w:r>
    </w:p>
  </w:endnote>
  <w:endnote w:type="continuationSeparator" w:id="0">
    <w:p w:rsidR="0038059F" w:rsidRDefault="0038059F" w:rsidP="005E5D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9F" w:rsidRDefault="0038059F">
    <w:pPr>
      <w:pStyle w:val="Normal"/>
      <w:pBdr>
        <w:top w:val="single" w:sz="6" w:space="0" w:color="auto"/>
        <w:between w:val="single" w:sz="6" w:space="0" w:color="auto"/>
      </w:pBdr>
      <w:rPr>
        <w:i/>
        <w:iCs/>
        <w:sz w:val="18"/>
        <w:szCs w:val="18"/>
      </w:rPr>
    </w:pPr>
    <w:r>
      <w:rPr>
        <w:i/>
        <w:iCs/>
        <w:sz w:val="18"/>
        <w:szCs w:val="18"/>
      </w:rPr>
      <w:t>Relazione Nota integrativa al bilancio consolidato 2016</w:t>
    </w:r>
  </w:p>
  <w:p w:rsidR="0038059F" w:rsidRDefault="0038059F">
    <w:pPr>
      <w:pStyle w:val="Normal"/>
      <w:jc w:val="right"/>
    </w:pPr>
    <w:r>
      <w:rPr>
        <w:i/>
        <w:iCs/>
      </w:rPr>
      <w:fldChar w:fldCharType="begin"/>
    </w:r>
    <w:r>
      <w:rPr>
        <w:i/>
        <w:iCs/>
      </w:rPr>
      <w:instrText xml:space="preserve"> PAGE \* Arabic </w:instrText>
    </w:r>
    <w:r>
      <w:rPr>
        <w:i/>
        <w:iCs/>
      </w:rPr>
      <w:fldChar w:fldCharType="separate"/>
    </w:r>
    <w:r w:rsidR="00AB615A">
      <w:rPr>
        <w:i/>
        <w:iCs/>
        <w:noProof/>
      </w:rPr>
      <w:t>27</w:t>
    </w:r>
    <w:r>
      <w:rPr>
        <w:i/>
        <w:iCs/>
      </w:rPr>
      <w:fldChar w:fldCharType="end"/>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9F" w:rsidRDefault="0038059F">
    <w:pPr>
      <w:pStyle w:val="Normal"/>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59F" w:rsidRDefault="0038059F" w:rsidP="005E5DF3">
      <w:pPr>
        <w:spacing w:after="0" w:line="240" w:lineRule="auto"/>
      </w:pPr>
      <w:r>
        <w:separator/>
      </w:r>
    </w:p>
  </w:footnote>
  <w:footnote w:type="continuationSeparator" w:id="0">
    <w:p w:rsidR="0038059F" w:rsidRDefault="0038059F" w:rsidP="005E5D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9F" w:rsidRDefault="0038059F">
    <w:pPr>
      <w:pStyle w:val="Normal"/>
      <w:jc w:val="right"/>
    </w:pPr>
    <w:r>
      <w:t xml:space="preserve"> Comune di Anacapri (NA)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9F" w:rsidRDefault="0038059F">
    <w:pPr>
      <w:pStyle w:val="Normal"/>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ind w:left="1080" w:hanging="360"/>
      </w:pPr>
      <w:rPr>
        <w:rFonts w:ascii="Symbol" w:hAnsi="Symbol" w:cs="Symbol" w:hint="default"/>
        <w:b w:val="0"/>
        <w:bCs w:val="0"/>
        <w:i/>
        <w:iCs/>
        <w:strike w:val="0"/>
        <w:color w:val="auto"/>
        <w:sz w:val="24"/>
        <w:szCs w:val="24"/>
        <w:u w:val="none"/>
      </w:rPr>
    </w:lvl>
    <w:lvl w:ilvl="1">
      <w:start w:val="1"/>
      <w:numFmt w:val="lowerLetter"/>
      <w:lvlText w:val="%2)"/>
      <w:lvlJc w:val="left"/>
      <w:pPr>
        <w:ind w:left="1620" w:hanging="360"/>
      </w:pPr>
      <w:rPr>
        <w:rFonts w:ascii="Arial" w:hAnsi="Arial" w:cs="Arial"/>
        <w:b w:val="0"/>
        <w:bCs w:val="0"/>
        <w:i/>
        <w:iCs/>
        <w:strike w:val="0"/>
        <w:color w:val="auto"/>
        <w:sz w:val="24"/>
        <w:szCs w:val="24"/>
        <w:u w:val="none"/>
      </w:rPr>
    </w:lvl>
    <w:lvl w:ilvl="2">
      <w:start w:val="1"/>
      <w:numFmt w:val="lowerLetter"/>
      <w:lvlText w:val="%3)"/>
      <w:lvlJc w:val="left"/>
      <w:pPr>
        <w:ind w:left="1980" w:hanging="360"/>
      </w:pPr>
      <w:rPr>
        <w:rFonts w:ascii="Arial" w:hAnsi="Arial" w:cs="Arial"/>
        <w:b w:val="0"/>
        <w:bCs w:val="0"/>
        <w:i/>
        <w:iCs/>
        <w:strike w:val="0"/>
        <w:color w:val="auto"/>
        <w:sz w:val="24"/>
        <w:szCs w:val="24"/>
        <w:u w:val="none"/>
      </w:rPr>
    </w:lvl>
    <w:lvl w:ilvl="3">
      <w:start w:val="1"/>
      <w:numFmt w:val="lowerLetter"/>
      <w:lvlText w:val="%4)"/>
      <w:lvlJc w:val="left"/>
      <w:pPr>
        <w:ind w:left="2340" w:hanging="360"/>
      </w:pPr>
      <w:rPr>
        <w:rFonts w:ascii="Arial" w:hAnsi="Arial" w:cs="Arial"/>
        <w:b w:val="0"/>
        <w:bCs w:val="0"/>
        <w:i/>
        <w:iCs/>
        <w:strike w:val="0"/>
        <w:color w:val="auto"/>
        <w:sz w:val="24"/>
        <w:szCs w:val="24"/>
        <w:u w:val="none"/>
      </w:rPr>
    </w:lvl>
    <w:lvl w:ilvl="4">
      <w:start w:val="1"/>
      <w:numFmt w:val="lowerLetter"/>
      <w:lvlText w:val="%5)"/>
      <w:lvlJc w:val="left"/>
      <w:pPr>
        <w:ind w:left="2700" w:hanging="360"/>
      </w:pPr>
      <w:rPr>
        <w:rFonts w:ascii="Arial" w:hAnsi="Arial" w:cs="Arial"/>
        <w:b w:val="0"/>
        <w:bCs w:val="0"/>
        <w:i/>
        <w:iCs/>
        <w:strike w:val="0"/>
        <w:color w:val="auto"/>
        <w:sz w:val="24"/>
        <w:szCs w:val="24"/>
        <w:u w:val="none"/>
      </w:rPr>
    </w:lvl>
    <w:lvl w:ilvl="5">
      <w:start w:val="1"/>
      <w:numFmt w:val="lowerLetter"/>
      <w:lvlText w:val="%6)"/>
      <w:lvlJc w:val="left"/>
      <w:pPr>
        <w:ind w:left="3060" w:hanging="360"/>
      </w:pPr>
      <w:rPr>
        <w:rFonts w:ascii="Arial" w:hAnsi="Arial" w:cs="Arial"/>
        <w:b w:val="0"/>
        <w:bCs w:val="0"/>
        <w:i/>
        <w:iCs/>
        <w:strike w:val="0"/>
        <w:color w:val="auto"/>
        <w:sz w:val="24"/>
        <w:szCs w:val="24"/>
        <w:u w:val="none"/>
      </w:rPr>
    </w:lvl>
    <w:lvl w:ilvl="6">
      <w:start w:val="1"/>
      <w:numFmt w:val="lowerLetter"/>
      <w:lvlText w:val="%7)"/>
      <w:lvlJc w:val="left"/>
      <w:pPr>
        <w:ind w:left="3420" w:hanging="360"/>
      </w:pPr>
      <w:rPr>
        <w:rFonts w:ascii="Arial" w:hAnsi="Arial" w:cs="Arial"/>
        <w:b w:val="0"/>
        <w:bCs w:val="0"/>
        <w:i/>
        <w:iCs/>
        <w:strike w:val="0"/>
        <w:color w:val="auto"/>
        <w:sz w:val="24"/>
        <w:szCs w:val="24"/>
        <w:u w:val="none"/>
      </w:rPr>
    </w:lvl>
    <w:lvl w:ilvl="7">
      <w:start w:val="1"/>
      <w:numFmt w:val="lowerLetter"/>
      <w:lvlText w:val="%8)"/>
      <w:lvlJc w:val="left"/>
      <w:pPr>
        <w:ind w:left="3780" w:hanging="360"/>
      </w:pPr>
      <w:rPr>
        <w:rFonts w:ascii="Arial" w:hAnsi="Arial" w:cs="Arial"/>
        <w:b w:val="0"/>
        <w:bCs w:val="0"/>
        <w:i/>
        <w:iCs/>
        <w:strike w:val="0"/>
        <w:color w:val="auto"/>
        <w:sz w:val="24"/>
        <w:szCs w:val="24"/>
        <w:u w:val="none"/>
      </w:rPr>
    </w:lvl>
    <w:lvl w:ilvl="8">
      <w:start w:val="1"/>
      <w:numFmt w:val="lowerLetter"/>
      <w:lvlText w:val="%9)"/>
      <w:lvlJc w:val="left"/>
      <w:pPr>
        <w:ind w:left="4140" w:hanging="360"/>
      </w:pPr>
      <w:rPr>
        <w:rFonts w:ascii="Arial" w:hAnsi="Arial" w:cs="Arial"/>
        <w:b w:val="0"/>
        <w:bCs w:val="0"/>
        <w:i/>
        <w:iCs/>
        <w:strike w:val="0"/>
        <w:color w:val="auto"/>
        <w:sz w:val="24"/>
        <w:szCs w:val="24"/>
        <w:u w:val="none"/>
      </w:rPr>
    </w:lvl>
  </w:abstractNum>
  <w:abstractNum w:abstractNumId="1">
    <w:nsid w:val="00000002"/>
    <w:multiLevelType w:val="multilevel"/>
    <w:tmpl w:val="00000002"/>
    <w:lvl w:ilvl="0">
      <w:start w:val="1"/>
      <w:numFmt w:val="lowerLetter"/>
      <w:lvlText w:val="%1)"/>
      <w:lvlJc w:val="left"/>
      <w:pPr>
        <w:ind w:left="720" w:hanging="360"/>
      </w:pPr>
      <w:rPr>
        <w:rFonts w:ascii="Arial" w:hAnsi="Arial" w:cs="Arial"/>
        <w:b w:val="0"/>
        <w:bCs w:val="0"/>
        <w:i/>
        <w:iCs/>
        <w:strike w:val="0"/>
        <w:color w:val="auto"/>
        <w:sz w:val="24"/>
        <w:szCs w:val="24"/>
        <w:u w:val="none"/>
      </w:rPr>
    </w:lvl>
    <w:lvl w:ilvl="1">
      <w:start w:val="1"/>
      <w:numFmt w:val="lowerLetter"/>
      <w:lvlText w:val="%2)"/>
      <w:lvlJc w:val="left"/>
      <w:pPr>
        <w:ind w:left="1080" w:hanging="360"/>
      </w:pPr>
      <w:rPr>
        <w:rFonts w:ascii="Arial" w:hAnsi="Arial" w:cs="Arial"/>
        <w:b w:val="0"/>
        <w:bCs w:val="0"/>
        <w:i/>
        <w:iCs/>
        <w:strike w:val="0"/>
        <w:color w:val="auto"/>
        <w:sz w:val="24"/>
        <w:szCs w:val="24"/>
        <w:u w:val="none"/>
      </w:rPr>
    </w:lvl>
    <w:lvl w:ilvl="2">
      <w:start w:val="1"/>
      <w:numFmt w:val="lowerLetter"/>
      <w:lvlText w:val="%3)"/>
      <w:lvlJc w:val="left"/>
      <w:pPr>
        <w:ind w:left="1440" w:hanging="360"/>
      </w:pPr>
      <w:rPr>
        <w:rFonts w:ascii="Arial" w:hAnsi="Arial" w:cs="Arial"/>
        <w:b w:val="0"/>
        <w:bCs w:val="0"/>
        <w:i/>
        <w:iCs/>
        <w:strike w:val="0"/>
        <w:color w:val="auto"/>
        <w:sz w:val="24"/>
        <w:szCs w:val="24"/>
        <w:u w:val="none"/>
      </w:rPr>
    </w:lvl>
    <w:lvl w:ilvl="3">
      <w:start w:val="1"/>
      <w:numFmt w:val="lowerLetter"/>
      <w:lvlText w:val="%4)"/>
      <w:lvlJc w:val="left"/>
      <w:pPr>
        <w:ind w:left="1800" w:hanging="360"/>
      </w:pPr>
      <w:rPr>
        <w:rFonts w:ascii="Arial" w:hAnsi="Arial" w:cs="Arial"/>
        <w:b w:val="0"/>
        <w:bCs w:val="0"/>
        <w:i/>
        <w:iCs/>
        <w:strike w:val="0"/>
        <w:color w:val="auto"/>
        <w:sz w:val="24"/>
        <w:szCs w:val="24"/>
        <w:u w:val="none"/>
      </w:rPr>
    </w:lvl>
    <w:lvl w:ilvl="4">
      <w:start w:val="1"/>
      <w:numFmt w:val="lowerLetter"/>
      <w:lvlText w:val="%5)"/>
      <w:lvlJc w:val="left"/>
      <w:pPr>
        <w:ind w:left="2160" w:hanging="360"/>
      </w:pPr>
      <w:rPr>
        <w:rFonts w:ascii="Arial" w:hAnsi="Arial" w:cs="Arial"/>
        <w:b w:val="0"/>
        <w:bCs w:val="0"/>
        <w:i/>
        <w:iCs/>
        <w:strike w:val="0"/>
        <w:color w:val="auto"/>
        <w:sz w:val="24"/>
        <w:szCs w:val="24"/>
        <w:u w:val="none"/>
      </w:rPr>
    </w:lvl>
    <w:lvl w:ilvl="5">
      <w:start w:val="1"/>
      <w:numFmt w:val="lowerLetter"/>
      <w:lvlText w:val="%6)"/>
      <w:lvlJc w:val="left"/>
      <w:pPr>
        <w:ind w:left="2520" w:hanging="360"/>
      </w:pPr>
      <w:rPr>
        <w:rFonts w:ascii="Arial" w:hAnsi="Arial" w:cs="Arial"/>
        <w:b w:val="0"/>
        <w:bCs w:val="0"/>
        <w:i/>
        <w:iCs/>
        <w:strike w:val="0"/>
        <w:color w:val="auto"/>
        <w:sz w:val="24"/>
        <w:szCs w:val="24"/>
        <w:u w:val="none"/>
      </w:rPr>
    </w:lvl>
    <w:lvl w:ilvl="6">
      <w:start w:val="1"/>
      <w:numFmt w:val="lowerLetter"/>
      <w:lvlText w:val="%7)"/>
      <w:lvlJc w:val="left"/>
      <w:pPr>
        <w:ind w:left="2880" w:hanging="360"/>
      </w:pPr>
      <w:rPr>
        <w:rFonts w:ascii="Arial" w:hAnsi="Arial" w:cs="Arial"/>
        <w:b w:val="0"/>
        <w:bCs w:val="0"/>
        <w:i/>
        <w:iCs/>
        <w:strike w:val="0"/>
        <w:color w:val="auto"/>
        <w:sz w:val="24"/>
        <w:szCs w:val="24"/>
        <w:u w:val="none"/>
      </w:rPr>
    </w:lvl>
    <w:lvl w:ilvl="7">
      <w:start w:val="1"/>
      <w:numFmt w:val="lowerLetter"/>
      <w:lvlText w:val="%8)"/>
      <w:lvlJc w:val="left"/>
      <w:pPr>
        <w:ind w:left="3240" w:hanging="360"/>
      </w:pPr>
      <w:rPr>
        <w:rFonts w:ascii="Arial" w:hAnsi="Arial" w:cs="Arial"/>
        <w:b w:val="0"/>
        <w:bCs w:val="0"/>
        <w:i/>
        <w:iCs/>
        <w:strike w:val="0"/>
        <w:color w:val="auto"/>
        <w:sz w:val="24"/>
        <w:szCs w:val="24"/>
        <w:u w:val="none"/>
      </w:rPr>
    </w:lvl>
    <w:lvl w:ilvl="8">
      <w:start w:val="1"/>
      <w:numFmt w:val="lowerLetter"/>
      <w:lvlText w:val="%9)"/>
      <w:lvlJc w:val="left"/>
      <w:pPr>
        <w:ind w:left="3600" w:hanging="360"/>
      </w:pPr>
      <w:rPr>
        <w:rFonts w:ascii="Arial" w:hAnsi="Arial" w:cs="Arial"/>
        <w:b w:val="0"/>
        <w:bCs w:val="0"/>
        <w:i/>
        <w:iCs/>
        <w:strike w:val="0"/>
        <w:color w:val="auto"/>
        <w:sz w:val="24"/>
        <w:szCs w:val="24"/>
        <w:u w:val="none"/>
      </w:rPr>
    </w:lvl>
  </w:abstractNum>
  <w:num w:numId="1">
    <w:abstractNumId w:val="0"/>
  </w:num>
  <w:num w:numId="2">
    <w:abstractNumId w:val="0"/>
    <w:lvlOverride w:ilvl="0">
      <w:lvl w:ilvl="0">
        <w:start w:val="1"/>
        <w:numFmt w:val="bullet"/>
        <w:lvlText w:val=""/>
        <w:lvlJc w:val="left"/>
        <w:pPr>
          <w:ind w:left="360" w:hanging="360"/>
        </w:pPr>
        <w:rPr>
          <w:rFonts w:ascii="Symbol" w:hAnsi="Symbol" w:cs="Symbol" w:hint="default"/>
          <w:b w:val="0"/>
          <w:bCs w:val="0"/>
          <w:i w:val="0"/>
          <w:iCs w:val="0"/>
          <w:strike w:val="0"/>
          <w:color w:val="auto"/>
          <w:sz w:val="24"/>
          <w:szCs w:val="24"/>
          <w:u w:val="single"/>
        </w:rPr>
      </w:lvl>
    </w:lvlOverride>
    <w:lvlOverride w:ilvl="1">
      <w:lvl w:ilvl="1">
        <w:start w:val="1"/>
        <w:numFmt w:val="lowerLetter"/>
        <w:lvlText w:val="%2)"/>
        <w:lvlJc w:val="left"/>
        <w:pPr>
          <w:ind w:left="1620" w:hanging="360"/>
        </w:pPr>
        <w:rPr>
          <w:rFonts w:ascii="Arial" w:hAnsi="Arial" w:cs="Arial"/>
          <w:b w:val="0"/>
          <w:bCs w:val="0"/>
          <w:i/>
          <w:iCs/>
          <w:strike w:val="0"/>
          <w:color w:val="auto"/>
          <w:sz w:val="24"/>
          <w:szCs w:val="24"/>
          <w:u w:val="none"/>
        </w:rPr>
      </w:lvl>
    </w:lvlOverride>
    <w:lvlOverride w:ilvl="2">
      <w:lvl w:ilvl="2">
        <w:start w:val="1"/>
        <w:numFmt w:val="lowerLetter"/>
        <w:lvlText w:val="%3)"/>
        <w:lvlJc w:val="left"/>
        <w:pPr>
          <w:ind w:left="1980" w:hanging="360"/>
        </w:pPr>
        <w:rPr>
          <w:rFonts w:ascii="Arial" w:hAnsi="Arial" w:cs="Arial"/>
          <w:b w:val="0"/>
          <w:bCs w:val="0"/>
          <w:i/>
          <w:iCs/>
          <w:strike w:val="0"/>
          <w:color w:val="auto"/>
          <w:sz w:val="24"/>
          <w:szCs w:val="24"/>
          <w:u w:val="none"/>
        </w:rPr>
      </w:lvl>
    </w:lvlOverride>
    <w:lvlOverride w:ilvl="3">
      <w:lvl w:ilvl="3">
        <w:start w:val="1"/>
        <w:numFmt w:val="lowerLetter"/>
        <w:lvlText w:val="%4)"/>
        <w:lvlJc w:val="left"/>
        <w:pPr>
          <w:ind w:left="2340" w:hanging="360"/>
        </w:pPr>
        <w:rPr>
          <w:rFonts w:ascii="Arial" w:hAnsi="Arial" w:cs="Arial"/>
          <w:b w:val="0"/>
          <w:bCs w:val="0"/>
          <w:i/>
          <w:iCs/>
          <w:strike w:val="0"/>
          <w:color w:val="auto"/>
          <w:sz w:val="24"/>
          <w:szCs w:val="24"/>
          <w:u w:val="none"/>
        </w:rPr>
      </w:lvl>
    </w:lvlOverride>
    <w:lvlOverride w:ilvl="4">
      <w:lvl w:ilvl="4">
        <w:start w:val="1"/>
        <w:numFmt w:val="lowerLetter"/>
        <w:lvlText w:val="%5)"/>
        <w:lvlJc w:val="left"/>
        <w:pPr>
          <w:ind w:left="2700" w:hanging="360"/>
        </w:pPr>
        <w:rPr>
          <w:rFonts w:ascii="Arial" w:hAnsi="Arial" w:cs="Arial"/>
          <w:b w:val="0"/>
          <w:bCs w:val="0"/>
          <w:i/>
          <w:iCs/>
          <w:strike w:val="0"/>
          <w:color w:val="auto"/>
          <w:sz w:val="24"/>
          <w:szCs w:val="24"/>
          <w:u w:val="none"/>
        </w:rPr>
      </w:lvl>
    </w:lvlOverride>
    <w:lvlOverride w:ilvl="5">
      <w:lvl w:ilvl="5">
        <w:start w:val="1"/>
        <w:numFmt w:val="lowerLetter"/>
        <w:lvlText w:val="%6)"/>
        <w:lvlJc w:val="left"/>
        <w:pPr>
          <w:ind w:left="3060" w:hanging="360"/>
        </w:pPr>
        <w:rPr>
          <w:rFonts w:ascii="Arial" w:hAnsi="Arial" w:cs="Arial"/>
          <w:b w:val="0"/>
          <w:bCs w:val="0"/>
          <w:i/>
          <w:iCs/>
          <w:strike w:val="0"/>
          <w:color w:val="auto"/>
          <w:sz w:val="24"/>
          <w:szCs w:val="24"/>
          <w:u w:val="none"/>
        </w:rPr>
      </w:lvl>
    </w:lvlOverride>
    <w:lvlOverride w:ilvl="6">
      <w:lvl w:ilvl="6">
        <w:start w:val="1"/>
        <w:numFmt w:val="lowerLetter"/>
        <w:lvlText w:val="%7)"/>
        <w:lvlJc w:val="left"/>
        <w:pPr>
          <w:ind w:left="3420" w:hanging="360"/>
        </w:pPr>
        <w:rPr>
          <w:rFonts w:ascii="Arial" w:hAnsi="Arial" w:cs="Arial"/>
          <w:b w:val="0"/>
          <w:bCs w:val="0"/>
          <w:i/>
          <w:iCs/>
          <w:strike w:val="0"/>
          <w:color w:val="auto"/>
          <w:sz w:val="24"/>
          <w:szCs w:val="24"/>
          <w:u w:val="none"/>
        </w:rPr>
      </w:lvl>
    </w:lvlOverride>
    <w:lvlOverride w:ilvl="7">
      <w:lvl w:ilvl="7">
        <w:start w:val="1"/>
        <w:numFmt w:val="lowerLetter"/>
        <w:lvlText w:val="%8)"/>
        <w:lvlJc w:val="left"/>
        <w:pPr>
          <w:ind w:left="3780" w:hanging="360"/>
        </w:pPr>
        <w:rPr>
          <w:rFonts w:ascii="Arial" w:hAnsi="Arial" w:cs="Arial"/>
          <w:b w:val="0"/>
          <w:bCs w:val="0"/>
          <w:i/>
          <w:iCs/>
          <w:strike w:val="0"/>
          <w:color w:val="auto"/>
          <w:sz w:val="24"/>
          <w:szCs w:val="24"/>
          <w:u w:val="none"/>
        </w:rPr>
      </w:lvl>
    </w:lvlOverride>
    <w:lvlOverride w:ilvl="8">
      <w:lvl w:ilvl="8">
        <w:start w:val="1"/>
        <w:numFmt w:val="lowerLetter"/>
        <w:lvlText w:val="%9)"/>
        <w:lvlJc w:val="left"/>
        <w:pPr>
          <w:ind w:left="4140" w:hanging="360"/>
        </w:pPr>
        <w:rPr>
          <w:rFonts w:ascii="Arial" w:hAnsi="Arial" w:cs="Arial"/>
          <w:b w:val="0"/>
          <w:bCs w:val="0"/>
          <w:i/>
          <w:iCs/>
          <w:strike w:val="0"/>
          <w:color w:val="auto"/>
          <w:sz w:val="24"/>
          <w:szCs w:val="24"/>
          <w:u w:val="none"/>
        </w:rPr>
      </w:lvl>
    </w:lvlOverride>
  </w:num>
  <w:num w:numId="3">
    <w:abstractNumId w:val="0"/>
    <w:lvlOverride w:ilvl="0">
      <w:lvl w:ilvl="0">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Override>
    <w:lvlOverride w:ilvl="1">
      <w:lvl w:ilvl="1">
        <w:start w:val="1"/>
        <w:numFmt w:val="lowerLetter"/>
        <w:lvlText w:val="%2)"/>
        <w:lvlJc w:val="left"/>
        <w:pPr>
          <w:ind w:left="1620" w:hanging="360"/>
        </w:pPr>
        <w:rPr>
          <w:rFonts w:ascii="Arial" w:hAnsi="Arial" w:cs="Arial"/>
          <w:b w:val="0"/>
          <w:bCs w:val="0"/>
          <w:i/>
          <w:iCs/>
          <w:strike w:val="0"/>
          <w:color w:val="auto"/>
          <w:sz w:val="24"/>
          <w:szCs w:val="24"/>
          <w:u w:val="none"/>
        </w:rPr>
      </w:lvl>
    </w:lvlOverride>
    <w:lvlOverride w:ilvl="2">
      <w:lvl w:ilvl="2">
        <w:start w:val="1"/>
        <w:numFmt w:val="lowerLetter"/>
        <w:lvlText w:val="%3)"/>
        <w:lvlJc w:val="left"/>
        <w:pPr>
          <w:ind w:left="1980" w:hanging="360"/>
        </w:pPr>
        <w:rPr>
          <w:rFonts w:ascii="Arial" w:hAnsi="Arial" w:cs="Arial"/>
          <w:b w:val="0"/>
          <w:bCs w:val="0"/>
          <w:i/>
          <w:iCs/>
          <w:strike w:val="0"/>
          <w:color w:val="auto"/>
          <w:sz w:val="24"/>
          <w:szCs w:val="24"/>
          <w:u w:val="none"/>
        </w:rPr>
      </w:lvl>
    </w:lvlOverride>
    <w:lvlOverride w:ilvl="3">
      <w:lvl w:ilvl="3">
        <w:start w:val="1"/>
        <w:numFmt w:val="lowerLetter"/>
        <w:lvlText w:val="%4)"/>
        <w:lvlJc w:val="left"/>
        <w:pPr>
          <w:ind w:left="2340" w:hanging="360"/>
        </w:pPr>
        <w:rPr>
          <w:rFonts w:ascii="Arial" w:hAnsi="Arial" w:cs="Arial"/>
          <w:b w:val="0"/>
          <w:bCs w:val="0"/>
          <w:i/>
          <w:iCs/>
          <w:strike w:val="0"/>
          <w:color w:val="auto"/>
          <w:sz w:val="24"/>
          <w:szCs w:val="24"/>
          <w:u w:val="none"/>
        </w:rPr>
      </w:lvl>
    </w:lvlOverride>
    <w:lvlOverride w:ilvl="4">
      <w:lvl w:ilvl="4">
        <w:start w:val="1"/>
        <w:numFmt w:val="lowerLetter"/>
        <w:lvlText w:val="%5)"/>
        <w:lvlJc w:val="left"/>
        <w:pPr>
          <w:ind w:left="2700" w:hanging="360"/>
        </w:pPr>
        <w:rPr>
          <w:rFonts w:ascii="Arial" w:hAnsi="Arial" w:cs="Arial"/>
          <w:b w:val="0"/>
          <w:bCs w:val="0"/>
          <w:i/>
          <w:iCs/>
          <w:strike w:val="0"/>
          <w:color w:val="auto"/>
          <w:sz w:val="24"/>
          <w:szCs w:val="24"/>
          <w:u w:val="none"/>
        </w:rPr>
      </w:lvl>
    </w:lvlOverride>
    <w:lvlOverride w:ilvl="5">
      <w:lvl w:ilvl="5">
        <w:start w:val="1"/>
        <w:numFmt w:val="lowerLetter"/>
        <w:lvlText w:val="%6)"/>
        <w:lvlJc w:val="left"/>
        <w:pPr>
          <w:ind w:left="3060" w:hanging="360"/>
        </w:pPr>
        <w:rPr>
          <w:rFonts w:ascii="Arial" w:hAnsi="Arial" w:cs="Arial"/>
          <w:b w:val="0"/>
          <w:bCs w:val="0"/>
          <w:i/>
          <w:iCs/>
          <w:strike w:val="0"/>
          <w:color w:val="auto"/>
          <w:sz w:val="24"/>
          <w:szCs w:val="24"/>
          <w:u w:val="none"/>
        </w:rPr>
      </w:lvl>
    </w:lvlOverride>
    <w:lvlOverride w:ilvl="6">
      <w:lvl w:ilvl="6">
        <w:start w:val="1"/>
        <w:numFmt w:val="lowerLetter"/>
        <w:lvlText w:val="%7)"/>
        <w:lvlJc w:val="left"/>
        <w:pPr>
          <w:ind w:left="3420" w:hanging="360"/>
        </w:pPr>
        <w:rPr>
          <w:rFonts w:ascii="Arial" w:hAnsi="Arial" w:cs="Arial"/>
          <w:b w:val="0"/>
          <w:bCs w:val="0"/>
          <w:i/>
          <w:iCs/>
          <w:strike w:val="0"/>
          <w:color w:val="auto"/>
          <w:sz w:val="24"/>
          <w:szCs w:val="24"/>
          <w:u w:val="none"/>
        </w:rPr>
      </w:lvl>
    </w:lvlOverride>
    <w:lvlOverride w:ilvl="7">
      <w:lvl w:ilvl="7">
        <w:start w:val="1"/>
        <w:numFmt w:val="lowerLetter"/>
        <w:lvlText w:val="%8)"/>
        <w:lvlJc w:val="left"/>
        <w:pPr>
          <w:ind w:left="3780" w:hanging="360"/>
        </w:pPr>
        <w:rPr>
          <w:rFonts w:ascii="Arial" w:hAnsi="Arial" w:cs="Arial"/>
          <w:b w:val="0"/>
          <w:bCs w:val="0"/>
          <w:i/>
          <w:iCs/>
          <w:strike w:val="0"/>
          <w:color w:val="auto"/>
          <w:sz w:val="24"/>
          <w:szCs w:val="24"/>
          <w:u w:val="none"/>
        </w:rPr>
      </w:lvl>
    </w:lvlOverride>
    <w:lvlOverride w:ilvl="8">
      <w:lvl w:ilvl="8">
        <w:start w:val="1"/>
        <w:numFmt w:val="lowerLetter"/>
        <w:lvlText w:val="%9)"/>
        <w:lvlJc w:val="left"/>
        <w:pPr>
          <w:ind w:left="4140" w:hanging="360"/>
        </w:pPr>
        <w:rPr>
          <w:rFonts w:ascii="Arial" w:hAnsi="Arial" w:cs="Arial"/>
          <w:b w:val="0"/>
          <w:bCs w:val="0"/>
          <w:i/>
          <w:iCs/>
          <w:strike w:val="0"/>
          <w:color w:val="auto"/>
          <w:sz w:val="24"/>
          <w:szCs w:val="24"/>
          <w:u w:val="none"/>
        </w:rPr>
      </w:lvl>
    </w:lvlOverride>
  </w:num>
  <w:num w:numId="4">
    <w:abstractNumId w:val="0"/>
    <w:lvlOverride w:ilvl="0">
      <w:lvl w:ilvl="0">
        <w:start w:val="1"/>
        <w:numFmt w:val="lowerLetter"/>
        <w:lvlText w:val="%1)"/>
        <w:lvlJc w:val="left"/>
        <w:pPr>
          <w:ind w:left="720" w:hanging="360"/>
        </w:pPr>
        <w:rPr>
          <w:rFonts w:ascii="Arial" w:hAnsi="Arial" w:cs="Arial"/>
          <w:b w:val="0"/>
          <w:bCs w:val="0"/>
          <w:i/>
          <w:iCs/>
          <w:strike w:val="0"/>
          <w:color w:val="auto"/>
          <w:sz w:val="24"/>
          <w:szCs w:val="24"/>
          <w:u w:val="none"/>
        </w:rPr>
      </w:lvl>
    </w:lvlOverride>
    <w:lvlOverride w:ilvl="1">
      <w:lvl w:ilvl="1">
        <w:start w:val="1"/>
        <w:numFmt w:val="lowerLetter"/>
        <w:lvlText w:val="%2)"/>
        <w:lvlJc w:val="left"/>
        <w:pPr>
          <w:ind w:left="1620" w:hanging="360"/>
        </w:pPr>
        <w:rPr>
          <w:rFonts w:ascii="Arial" w:hAnsi="Arial" w:cs="Arial"/>
          <w:b w:val="0"/>
          <w:bCs w:val="0"/>
          <w:i/>
          <w:iCs/>
          <w:strike w:val="0"/>
          <w:color w:val="auto"/>
          <w:sz w:val="24"/>
          <w:szCs w:val="24"/>
          <w:u w:val="none"/>
        </w:rPr>
      </w:lvl>
    </w:lvlOverride>
    <w:lvlOverride w:ilvl="2">
      <w:lvl w:ilvl="2">
        <w:start w:val="1"/>
        <w:numFmt w:val="lowerLetter"/>
        <w:lvlText w:val="%3)"/>
        <w:lvlJc w:val="left"/>
        <w:pPr>
          <w:ind w:left="1980" w:hanging="360"/>
        </w:pPr>
        <w:rPr>
          <w:rFonts w:ascii="Arial" w:hAnsi="Arial" w:cs="Arial"/>
          <w:b w:val="0"/>
          <w:bCs w:val="0"/>
          <w:i/>
          <w:iCs/>
          <w:strike w:val="0"/>
          <w:color w:val="auto"/>
          <w:sz w:val="24"/>
          <w:szCs w:val="24"/>
          <w:u w:val="none"/>
        </w:rPr>
      </w:lvl>
    </w:lvlOverride>
    <w:lvlOverride w:ilvl="3">
      <w:lvl w:ilvl="3">
        <w:start w:val="1"/>
        <w:numFmt w:val="lowerLetter"/>
        <w:lvlText w:val="%4)"/>
        <w:lvlJc w:val="left"/>
        <w:pPr>
          <w:ind w:left="2340" w:hanging="360"/>
        </w:pPr>
        <w:rPr>
          <w:rFonts w:ascii="Arial" w:hAnsi="Arial" w:cs="Arial"/>
          <w:b w:val="0"/>
          <w:bCs w:val="0"/>
          <w:i/>
          <w:iCs/>
          <w:strike w:val="0"/>
          <w:color w:val="auto"/>
          <w:sz w:val="24"/>
          <w:szCs w:val="24"/>
          <w:u w:val="none"/>
        </w:rPr>
      </w:lvl>
    </w:lvlOverride>
    <w:lvlOverride w:ilvl="4">
      <w:lvl w:ilvl="4">
        <w:start w:val="1"/>
        <w:numFmt w:val="lowerLetter"/>
        <w:lvlText w:val="%5)"/>
        <w:lvlJc w:val="left"/>
        <w:pPr>
          <w:ind w:left="2700" w:hanging="360"/>
        </w:pPr>
        <w:rPr>
          <w:rFonts w:ascii="Arial" w:hAnsi="Arial" w:cs="Arial"/>
          <w:b w:val="0"/>
          <w:bCs w:val="0"/>
          <w:i/>
          <w:iCs/>
          <w:strike w:val="0"/>
          <w:color w:val="auto"/>
          <w:sz w:val="24"/>
          <w:szCs w:val="24"/>
          <w:u w:val="none"/>
        </w:rPr>
      </w:lvl>
    </w:lvlOverride>
    <w:lvlOverride w:ilvl="5">
      <w:lvl w:ilvl="5">
        <w:start w:val="1"/>
        <w:numFmt w:val="lowerLetter"/>
        <w:lvlText w:val="%6)"/>
        <w:lvlJc w:val="left"/>
        <w:pPr>
          <w:ind w:left="3060" w:hanging="360"/>
        </w:pPr>
        <w:rPr>
          <w:rFonts w:ascii="Arial" w:hAnsi="Arial" w:cs="Arial"/>
          <w:b w:val="0"/>
          <w:bCs w:val="0"/>
          <w:i/>
          <w:iCs/>
          <w:strike w:val="0"/>
          <w:color w:val="auto"/>
          <w:sz w:val="24"/>
          <w:szCs w:val="24"/>
          <w:u w:val="none"/>
        </w:rPr>
      </w:lvl>
    </w:lvlOverride>
    <w:lvlOverride w:ilvl="6">
      <w:lvl w:ilvl="6">
        <w:start w:val="1"/>
        <w:numFmt w:val="lowerLetter"/>
        <w:lvlText w:val="%7)"/>
        <w:lvlJc w:val="left"/>
        <w:pPr>
          <w:ind w:left="3420" w:hanging="360"/>
        </w:pPr>
        <w:rPr>
          <w:rFonts w:ascii="Arial" w:hAnsi="Arial" w:cs="Arial"/>
          <w:b w:val="0"/>
          <w:bCs w:val="0"/>
          <w:i/>
          <w:iCs/>
          <w:strike w:val="0"/>
          <w:color w:val="auto"/>
          <w:sz w:val="24"/>
          <w:szCs w:val="24"/>
          <w:u w:val="none"/>
        </w:rPr>
      </w:lvl>
    </w:lvlOverride>
    <w:lvlOverride w:ilvl="7">
      <w:lvl w:ilvl="7">
        <w:start w:val="1"/>
        <w:numFmt w:val="lowerLetter"/>
        <w:lvlText w:val="%8)"/>
        <w:lvlJc w:val="left"/>
        <w:pPr>
          <w:ind w:left="3780" w:hanging="360"/>
        </w:pPr>
        <w:rPr>
          <w:rFonts w:ascii="Arial" w:hAnsi="Arial" w:cs="Arial"/>
          <w:b w:val="0"/>
          <w:bCs w:val="0"/>
          <w:i/>
          <w:iCs/>
          <w:strike w:val="0"/>
          <w:color w:val="auto"/>
          <w:sz w:val="24"/>
          <w:szCs w:val="24"/>
          <w:u w:val="none"/>
        </w:rPr>
      </w:lvl>
    </w:lvlOverride>
    <w:lvlOverride w:ilvl="8">
      <w:lvl w:ilvl="8">
        <w:start w:val="1"/>
        <w:numFmt w:val="lowerLetter"/>
        <w:lvlText w:val="%9)"/>
        <w:lvlJc w:val="left"/>
        <w:pPr>
          <w:ind w:left="4140" w:hanging="360"/>
        </w:pPr>
        <w:rPr>
          <w:rFonts w:ascii="Arial" w:hAnsi="Arial" w:cs="Arial"/>
          <w:b w:val="0"/>
          <w:bCs w:val="0"/>
          <w:i/>
          <w:iCs/>
          <w:strike w:val="0"/>
          <w:color w:val="auto"/>
          <w:sz w:val="24"/>
          <w:szCs w:val="24"/>
          <w:u w:val="none"/>
        </w:rPr>
      </w:lvl>
    </w:lvlOverride>
  </w:num>
  <w:num w:numId="5">
    <w:abstractNumId w:val="1"/>
  </w:num>
  <w:num w:numId="6">
    <w:abstractNumId w:val="1"/>
    <w:lvlOverride w:ilvl="0">
      <w:lvl w:ilvl="0">
        <w:start w:val="1"/>
        <w:numFmt w:val="bullet"/>
        <w:lvlText w:val=""/>
        <w:lvlJc w:val="left"/>
        <w:pPr>
          <w:ind w:left="360" w:hanging="360"/>
        </w:pPr>
        <w:rPr>
          <w:rFonts w:ascii="Symbol" w:hAnsi="Symbol" w:cs="Symbol" w:hint="default"/>
          <w:b w:val="0"/>
          <w:bCs w:val="0"/>
          <w:i w:val="0"/>
          <w:iCs w:val="0"/>
          <w:strike w:val="0"/>
          <w:color w:val="auto"/>
          <w:sz w:val="24"/>
          <w:szCs w:val="24"/>
          <w:u w:val="single"/>
        </w:rPr>
      </w:lvl>
    </w:lvlOverride>
    <w:lvlOverride w:ilvl="1">
      <w:lvl w:ilvl="1">
        <w:start w:val="1"/>
        <w:numFmt w:val="lowerLetter"/>
        <w:lvlText w:val="%2)"/>
        <w:lvlJc w:val="left"/>
        <w:pPr>
          <w:ind w:left="1080" w:hanging="360"/>
        </w:pPr>
        <w:rPr>
          <w:rFonts w:ascii="Arial" w:hAnsi="Arial" w:cs="Arial"/>
          <w:b w:val="0"/>
          <w:bCs w:val="0"/>
          <w:i/>
          <w:iCs/>
          <w:strike w:val="0"/>
          <w:color w:val="auto"/>
          <w:sz w:val="24"/>
          <w:szCs w:val="24"/>
          <w:u w:val="none"/>
        </w:rPr>
      </w:lvl>
    </w:lvlOverride>
    <w:lvlOverride w:ilvl="2">
      <w:lvl w:ilvl="2">
        <w:start w:val="1"/>
        <w:numFmt w:val="lowerLetter"/>
        <w:lvlText w:val="%3)"/>
        <w:lvlJc w:val="left"/>
        <w:pPr>
          <w:ind w:left="1440" w:hanging="360"/>
        </w:pPr>
        <w:rPr>
          <w:rFonts w:ascii="Arial" w:hAnsi="Arial" w:cs="Arial"/>
          <w:b w:val="0"/>
          <w:bCs w:val="0"/>
          <w:i/>
          <w:iCs/>
          <w:strike w:val="0"/>
          <w:color w:val="auto"/>
          <w:sz w:val="24"/>
          <w:szCs w:val="24"/>
          <w:u w:val="none"/>
        </w:rPr>
      </w:lvl>
    </w:lvlOverride>
    <w:lvlOverride w:ilvl="3">
      <w:lvl w:ilvl="3">
        <w:start w:val="1"/>
        <w:numFmt w:val="lowerLetter"/>
        <w:lvlText w:val="%4)"/>
        <w:lvlJc w:val="left"/>
        <w:pPr>
          <w:ind w:left="1800" w:hanging="360"/>
        </w:pPr>
        <w:rPr>
          <w:rFonts w:ascii="Arial" w:hAnsi="Arial" w:cs="Arial"/>
          <w:b w:val="0"/>
          <w:bCs w:val="0"/>
          <w:i/>
          <w:iCs/>
          <w:strike w:val="0"/>
          <w:color w:val="auto"/>
          <w:sz w:val="24"/>
          <w:szCs w:val="24"/>
          <w:u w:val="none"/>
        </w:rPr>
      </w:lvl>
    </w:lvlOverride>
    <w:lvlOverride w:ilvl="4">
      <w:lvl w:ilvl="4">
        <w:start w:val="1"/>
        <w:numFmt w:val="lowerLetter"/>
        <w:lvlText w:val="%5)"/>
        <w:lvlJc w:val="left"/>
        <w:pPr>
          <w:ind w:left="2160" w:hanging="360"/>
        </w:pPr>
        <w:rPr>
          <w:rFonts w:ascii="Arial" w:hAnsi="Arial" w:cs="Arial"/>
          <w:b w:val="0"/>
          <w:bCs w:val="0"/>
          <w:i/>
          <w:iCs/>
          <w:strike w:val="0"/>
          <w:color w:val="auto"/>
          <w:sz w:val="24"/>
          <w:szCs w:val="24"/>
          <w:u w:val="none"/>
        </w:rPr>
      </w:lvl>
    </w:lvlOverride>
    <w:lvlOverride w:ilvl="5">
      <w:lvl w:ilvl="5">
        <w:start w:val="1"/>
        <w:numFmt w:val="lowerLetter"/>
        <w:lvlText w:val="%6)"/>
        <w:lvlJc w:val="left"/>
        <w:pPr>
          <w:ind w:left="2520" w:hanging="360"/>
        </w:pPr>
        <w:rPr>
          <w:rFonts w:ascii="Arial" w:hAnsi="Arial" w:cs="Arial"/>
          <w:b w:val="0"/>
          <w:bCs w:val="0"/>
          <w:i/>
          <w:iCs/>
          <w:strike w:val="0"/>
          <w:color w:val="auto"/>
          <w:sz w:val="24"/>
          <w:szCs w:val="24"/>
          <w:u w:val="none"/>
        </w:rPr>
      </w:lvl>
    </w:lvlOverride>
    <w:lvlOverride w:ilvl="6">
      <w:lvl w:ilvl="6">
        <w:start w:val="1"/>
        <w:numFmt w:val="lowerLetter"/>
        <w:lvlText w:val="%7)"/>
        <w:lvlJc w:val="left"/>
        <w:pPr>
          <w:ind w:left="2880" w:hanging="360"/>
        </w:pPr>
        <w:rPr>
          <w:rFonts w:ascii="Arial" w:hAnsi="Arial" w:cs="Arial"/>
          <w:b w:val="0"/>
          <w:bCs w:val="0"/>
          <w:i/>
          <w:iCs/>
          <w:strike w:val="0"/>
          <w:color w:val="auto"/>
          <w:sz w:val="24"/>
          <w:szCs w:val="24"/>
          <w:u w:val="none"/>
        </w:rPr>
      </w:lvl>
    </w:lvlOverride>
    <w:lvlOverride w:ilvl="7">
      <w:lvl w:ilvl="7">
        <w:start w:val="1"/>
        <w:numFmt w:val="lowerLetter"/>
        <w:lvlText w:val="%8)"/>
        <w:lvlJc w:val="left"/>
        <w:pPr>
          <w:ind w:left="3240" w:hanging="360"/>
        </w:pPr>
        <w:rPr>
          <w:rFonts w:ascii="Arial" w:hAnsi="Arial" w:cs="Arial"/>
          <w:b w:val="0"/>
          <w:bCs w:val="0"/>
          <w:i/>
          <w:iCs/>
          <w:strike w:val="0"/>
          <w:color w:val="auto"/>
          <w:sz w:val="24"/>
          <w:szCs w:val="24"/>
          <w:u w:val="none"/>
        </w:rPr>
      </w:lvl>
    </w:lvlOverride>
    <w:lvlOverride w:ilvl="8">
      <w:lvl w:ilvl="8">
        <w:start w:val="1"/>
        <w:numFmt w:val="lowerLetter"/>
        <w:lvlText w:val="%9)"/>
        <w:lvlJc w:val="left"/>
        <w:pPr>
          <w:ind w:left="3600" w:hanging="360"/>
        </w:pPr>
        <w:rPr>
          <w:rFonts w:ascii="Arial" w:hAnsi="Arial" w:cs="Arial"/>
          <w:b w:val="0"/>
          <w:bCs w:val="0"/>
          <w:i/>
          <w:iCs/>
          <w:strike w:val="0"/>
          <w:color w:val="auto"/>
          <w:sz w:val="24"/>
          <w:szCs w:val="24"/>
          <w:u w:val="none"/>
        </w:rPr>
      </w:lvl>
    </w:lvlOverride>
  </w:num>
  <w:num w:numId="7">
    <w:abstractNumId w:val="1"/>
    <w:lvlOverride w:ilvl="0">
      <w:lvl w:ilvl="0">
        <w:start w:val="1"/>
        <w:numFmt w:val="bullet"/>
        <w:lvlText w:val=""/>
        <w:lvlJc w:val="left"/>
        <w:pPr>
          <w:ind w:left="432" w:hanging="432"/>
        </w:pPr>
        <w:rPr>
          <w:rFonts w:ascii="Symbol" w:hAnsi="Symbol" w:cs="Symbol" w:hint="default"/>
          <w:b w:val="0"/>
          <w:bCs w:val="0"/>
          <w:i w:val="0"/>
          <w:iCs w:val="0"/>
          <w:strike w:val="0"/>
          <w:color w:val="000000"/>
          <w:sz w:val="19"/>
          <w:szCs w:val="19"/>
          <w:u w:val="none"/>
        </w:rPr>
      </w:lvl>
    </w:lvlOverride>
    <w:lvlOverride w:ilvl="1">
      <w:lvl w:ilvl="1">
        <w:start w:val="1"/>
        <w:numFmt w:val="lowerLetter"/>
        <w:lvlText w:val="%2)"/>
        <w:lvlJc w:val="left"/>
        <w:pPr>
          <w:ind w:left="1080" w:hanging="360"/>
        </w:pPr>
        <w:rPr>
          <w:rFonts w:ascii="Arial" w:hAnsi="Arial" w:cs="Arial"/>
          <w:b w:val="0"/>
          <w:bCs w:val="0"/>
          <w:i/>
          <w:iCs/>
          <w:strike w:val="0"/>
          <w:color w:val="auto"/>
          <w:sz w:val="24"/>
          <w:szCs w:val="24"/>
          <w:u w:val="none"/>
        </w:rPr>
      </w:lvl>
    </w:lvlOverride>
    <w:lvlOverride w:ilvl="2">
      <w:lvl w:ilvl="2">
        <w:start w:val="1"/>
        <w:numFmt w:val="lowerLetter"/>
        <w:lvlText w:val="%3)"/>
        <w:lvlJc w:val="left"/>
        <w:pPr>
          <w:ind w:left="1440" w:hanging="360"/>
        </w:pPr>
        <w:rPr>
          <w:rFonts w:ascii="Arial" w:hAnsi="Arial" w:cs="Arial"/>
          <w:b w:val="0"/>
          <w:bCs w:val="0"/>
          <w:i/>
          <w:iCs/>
          <w:strike w:val="0"/>
          <w:color w:val="auto"/>
          <w:sz w:val="24"/>
          <w:szCs w:val="24"/>
          <w:u w:val="none"/>
        </w:rPr>
      </w:lvl>
    </w:lvlOverride>
    <w:lvlOverride w:ilvl="3">
      <w:lvl w:ilvl="3">
        <w:start w:val="1"/>
        <w:numFmt w:val="lowerLetter"/>
        <w:lvlText w:val="%4)"/>
        <w:lvlJc w:val="left"/>
        <w:pPr>
          <w:ind w:left="1800" w:hanging="360"/>
        </w:pPr>
        <w:rPr>
          <w:rFonts w:ascii="Arial" w:hAnsi="Arial" w:cs="Arial"/>
          <w:b w:val="0"/>
          <w:bCs w:val="0"/>
          <w:i/>
          <w:iCs/>
          <w:strike w:val="0"/>
          <w:color w:val="auto"/>
          <w:sz w:val="24"/>
          <w:szCs w:val="24"/>
          <w:u w:val="none"/>
        </w:rPr>
      </w:lvl>
    </w:lvlOverride>
    <w:lvlOverride w:ilvl="4">
      <w:lvl w:ilvl="4">
        <w:start w:val="1"/>
        <w:numFmt w:val="lowerLetter"/>
        <w:lvlText w:val="%5)"/>
        <w:lvlJc w:val="left"/>
        <w:pPr>
          <w:ind w:left="2160" w:hanging="360"/>
        </w:pPr>
        <w:rPr>
          <w:rFonts w:ascii="Arial" w:hAnsi="Arial" w:cs="Arial"/>
          <w:b w:val="0"/>
          <w:bCs w:val="0"/>
          <w:i/>
          <w:iCs/>
          <w:strike w:val="0"/>
          <w:color w:val="auto"/>
          <w:sz w:val="24"/>
          <w:szCs w:val="24"/>
          <w:u w:val="none"/>
        </w:rPr>
      </w:lvl>
    </w:lvlOverride>
    <w:lvlOverride w:ilvl="5">
      <w:lvl w:ilvl="5">
        <w:start w:val="1"/>
        <w:numFmt w:val="lowerLetter"/>
        <w:lvlText w:val="%6)"/>
        <w:lvlJc w:val="left"/>
        <w:pPr>
          <w:ind w:left="2520" w:hanging="360"/>
        </w:pPr>
        <w:rPr>
          <w:rFonts w:ascii="Arial" w:hAnsi="Arial" w:cs="Arial"/>
          <w:b w:val="0"/>
          <w:bCs w:val="0"/>
          <w:i/>
          <w:iCs/>
          <w:strike w:val="0"/>
          <w:color w:val="auto"/>
          <w:sz w:val="24"/>
          <w:szCs w:val="24"/>
          <w:u w:val="none"/>
        </w:rPr>
      </w:lvl>
    </w:lvlOverride>
    <w:lvlOverride w:ilvl="6">
      <w:lvl w:ilvl="6">
        <w:start w:val="1"/>
        <w:numFmt w:val="lowerLetter"/>
        <w:lvlText w:val="%7)"/>
        <w:lvlJc w:val="left"/>
        <w:pPr>
          <w:ind w:left="2880" w:hanging="360"/>
        </w:pPr>
        <w:rPr>
          <w:rFonts w:ascii="Arial" w:hAnsi="Arial" w:cs="Arial"/>
          <w:b w:val="0"/>
          <w:bCs w:val="0"/>
          <w:i/>
          <w:iCs/>
          <w:strike w:val="0"/>
          <w:color w:val="auto"/>
          <w:sz w:val="24"/>
          <w:szCs w:val="24"/>
          <w:u w:val="none"/>
        </w:rPr>
      </w:lvl>
    </w:lvlOverride>
    <w:lvlOverride w:ilvl="7">
      <w:lvl w:ilvl="7">
        <w:start w:val="1"/>
        <w:numFmt w:val="lowerLetter"/>
        <w:lvlText w:val="%8)"/>
        <w:lvlJc w:val="left"/>
        <w:pPr>
          <w:ind w:left="3240" w:hanging="360"/>
        </w:pPr>
        <w:rPr>
          <w:rFonts w:ascii="Arial" w:hAnsi="Arial" w:cs="Arial"/>
          <w:b w:val="0"/>
          <w:bCs w:val="0"/>
          <w:i/>
          <w:iCs/>
          <w:strike w:val="0"/>
          <w:color w:val="auto"/>
          <w:sz w:val="24"/>
          <w:szCs w:val="24"/>
          <w:u w:val="none"/>
        </w:rPr>
      </w:lvl>
    </w:lvlOverride>
    <w:lvlOverride w:ilvl="8">
      <w:lvl w:ilvl="8">
        <w:start w:val="1"/>
        <w:numFmt w:val="lowerLetter"/>
        <w:lvlText w:val="%9)"/>
        <w:lvlJc w:val="left"/>
        <w:pPr>
          <w:ind w:left="3600" w:hanging="360"/>
        </w:pPr>
        <w:rPr>
          <w:rFonts w:ascii="Arial" w:hAnsi="Arial" w:cs="Arial"/>
          <w:b w:val="0"/>
          <w:bCs w:val="0"/>
          <w:i/>
          <w:iCs/>
          <w:strike w:val="0"/>
          <w:color w:val="auto"/>
          <w:sz w:val="24"/>
          <w:szCs w:val="24"/>
          <w:u w:val="no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defaultTabStop w:val="708"/>
  <w:hyphenationZone w:val="283"/>
  <w:characterSpacingControl w:val="doNotCompress"/>
  <w:footnotePr>
    <w:footnote w:id="-1"/>
    <w:footnote w:id="0"/>
  </w:footnotePr>
  <w:endnotePr>
    <w:endnote w:id="-1"/>
    <w:endnote w:id="0"/>
  </w:endnotePr>
  <w:compat/>
  <w:rsids>
    <w:rsidRoot w:val="003B1E0D"/>
    <w:rsid w:val="000B1F93"/>
    <w:rsid w:val="000E26F7"/>
    <w:rsid w:val="001811E5"/>
    <w:rsid w:val="00183808"/>
    <w:rsid w:val="00211123"/>
    <w:rsid w:val="0021176C"/>
    <w:rsid w:val="002C049D"/>
    <w:rsid w:val="0038059F"/>
    <w:rsid w:val="003B1E0D"/>
    <w:rsid w:val="004406AD"/>
    <w:rsid w:val="00446765"/>
    <w:rsid w:val="00496740"/>
    <w:rsid w:val="004F4AAB"/>
    <w:rsid w:val="00523B08"/>
    <w:rsid w:val="005B3D0E"/>
    <w:rsid w:val="005C0C4A"/>
    <w:rsid w:val="005E5DF3"/>
    <w:rsid w:val="006B15C4"/>
    <w:rsid w:val="00725DBC"/>
    <w:rsid w:val="00752A6B"/>
    <w:rsid w:val="00754601"/>
    <w:rsid w:val="008A4E63"/>
    <w:rsid w:val="009756C3"/>
    <w:rsid w:val="009875F9"/>
    <w:rsid w:val="009B0C2C"/>
    <w:rsid w:val="009B5B9A"/>
    <w:rsid w:val="00AB615A"/>
    <w:rsid w:val="00B23C10"/>
    <w:rsid w:val="00B9438E"/>
    <w:rsid w:val="00C6624A"/>
    <w:rsid w:val="00DB35FD"/>
    <w:rsid w:val="00DB6EA7"/>
    <w:rsid w:val="00DD133F"/>
    <w:rsid w:val="00E724C8"/>
    <w:rsid w:val="00E87E72"/>
    <w:rsid w:val="00EA0692"/>
    <w:rsid w:val="00EA127B"/>
    <w:rsid w:val="00F052CC"/>
    <w:rsid w:val="00F121C3"/>
    <w:rsid w:val="00F92A47"/>
    <w:rsid w:val="00F95FE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5DF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essunelenco1">
    <w:name w:val="Nessun elenco1"/>
    <w:next w:val="Nessunelenco"/>
    <w:uiPriority w:val="99"/>
    <w:semiHidden/>
    <w:unhideWhenUsed/>
    <w:rsid w:val="00211123"/>
  </w:style>
  <w:style w:type="paragraph" w:customStyle="1" w:styleId="Normal">
    <w:name w:val="[Normal]"/>
    <w:uiPriority w:val="99"/>
    <w:rsid w:val="00211123"/>
    <w:pPr>
      <w:widowControl w:val="0"/>
      <w:autoSpaceDE w:val="0"/>
      <w:autoSpaceDN w:val="0"/>
      <w:adjustRightInd w:val="0"/>
      <w:spacing w:after="0" w:line="240" w:lineRule="auto"/>
    </w:pPr>
    <w:rPr>
      <w:rFonts w:ascii="Arial" w:hAnsi="Arial" w:cs="Arial"/>
      <w:sz w:val="24"/>
      <w:szCs w:val="24"/>
    </w:rPr>
  </w:style>
  <w:style w:type="paragraph" w:customStyle="1" w:styleId="Normale0">
    <w:name w:val="[Normale]"/>
    <w:basedOn w:val="Normal"/>
    <w:uiPriority w:val="99"/>
    <w:rsid w:val="0021112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style>
  <w:style w:type="paragraph" w:styleId="Testofumetto">
    <w:name w:val="Balloon Text"/>
    <w:basedOn w:val="Normale"/>
    <w:link w:val="TestofumettoCarattere"/>
    <w:uiPriority w:val="99"/>
    <w:semiHidden/>
    <w:unhideWhenUsed/>
    <w:rsid w:val="009756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756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27B052-37E0-444C-8E74-A71AC7AC4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28</Pages>
  <Words>7530</Words>
  <Characters>42923</Characters>
  <Application>Microsoft Office Word</Application>
  <DocSecurity>0</DocSecurity>
  <Lines>357</Lines>
  <Paragraphs>100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dc:creator>
  <cp:lastModifiedBy>IpomeaA</cp:lastModifiedBy>
  <cp:revision>26</cp:revision>
  <dcterms:created xsi:type="dcterms:W3CDTF">2017-09-26T06:39:00Z</dcterms:created>
  <dcterms:modified xsi:type="dcterms:W3CDTF">2017-09-27T07:15:00Z</dcterms:modified>
</cp:coreProperties>
</file>